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FD716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8B41A7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9D29E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           </w:t>
      </w:r>
      <w:r w:rsidRPr="009D29EF">
        <w:rPr>
          <w:rFonts w:ascii="Times New Roman" w:eastAsia="Times New Roman" w:hAnsi="Times New Roman" w:cs="Times New Roman"/>
          <w:sz w:val="24"/>
          <w:szCs w:val="20"/>
          <w:lang w:eastAsia="hr-HR"/>
        </w:rPr>
        <w:object w:dxaOrig="790" w:dyaOrig="995" w14:anchorId="6922AC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1pt" o:ole="" fillcolor="window">
            <v:imagedata r:id="rId8" o:title=""/>
          </v:shape>
          <o:OLEObject Type="Embed" ProgID="CorelDraw.Graphic.8" ShapeID="_x0000_i1025" DrawAspect="Content" ObjectID="_1762247395" r:id="rId9"/>
        </w:object>
      </w:r>
    </w:p>
    <w:p w14:paraId="40629BA1" w14:textId="77777777" w:rsidR="009D29EF" w:rsidRPr="009D29EF" w:rsidRDefault="009D29EF" w:rsidP="009D2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D2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REPUBLIKA HRVATSKA</w:t>
      </w:r>
    </w:p>
    <w:p w14:paraId="21F941FD" w14:textId="77777777" w:rsidR="009D29EF" w:rsidRPr="009D29EF" w:rsidRDefault="009D29EF" w:rsidP="009D29E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D2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ISTARSKA ŽUPANIJA</w:t>
      </w:r>
    </w:p>
    <w:p w14:paraId="726539DC" w14:textId="77777777" w:rsidR="009D29EF" w:rsidRPr="009D29EF" w:rsidRDefault="009D29EF" w:rsidP="009D2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D2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GRAD POREČ - PARENZO </w:t>
      </w:r>
    </w:p>
    <w:p w14:paraId="30699A8B" w14:textId="77777777" w:rsidR="009D29EF" w:rsidRPr="009D29EF" w:rsidRDefault="009D29EF" w:rsidP="009D2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D2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CITTÀ DI POREČ - PARENZO</w:t>
      </w:r>
    </w:p>
    <w:p w14:paraId="5E5A9671" w14:textId="77777777" w:rsidR="009D29EF" w:rsidRPr="009D29EF" w:rsidRDefault="009D29EF" w:rsidP="009D2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9D29E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Gradonačelnik</w:t>
      </w:r>
    </w:p>
    <w:p w14:paraId="544A65FC" w14:textId="2C02EBF8" w:rsidR="009D29EF" w:rsidRPr="009D29EF" w:rsidRDefault="009D29EF" w:rsidP="009D2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9D29E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KLASA:</w:t>
      </w:r>
      <w:r w:rsidR="002B01F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024-01/23-01/408</w:t>
      </w:r>
    </w:p>
    <w:p w14:paraId="453754D4" w14:textId="3CE95D1F" w:rsidR="009D29EF" w:rsidRPr="009D29EF" w:rsidRDefault="009D29EF" w:rsidP="009D2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9D29E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URBROJ:</w:t>
      </w:r>
      <w:r w:rsidR="002B01F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2163-6-09/01-23-2</w:t>
      </w:r>
    </w:p>
    <w:p w14:paraId="76BE3283" w14:textId="0B015CB7" w:rsidR="009D29EF" w:rsidRPr="009D29EF" w:rsidRDefault="009D29EF" w:rsidP="009D2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9D29E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Poreč-</w:t>
      </w:r>
      <w:proofErr w:type="spellStart"/>
      <w:r w:rsidRPr="009D29E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Parenzo</w:t>
      </w:r>
      <w:proofErr w:type="spellEnd"/>
      <w:r w:rsidRPr="009D29E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,</w:t>
      </w:r>
      <w:r w:rsidR="002B01F0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23. studenog 2023.</w:t>
      </w:r>
    </w:p>
    <w:p w14:paraId="79A4C233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</w:p>
    <w:p w14:paraId="40BB0D0C" w14:textId="10564ED1" w:rsidR="009D29EF" w:rsidRPr="009D29EF" w:rsidRDefault="009D29EF" w:rsidP="00D466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29EF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53. Statuta Grada Poreča-</w:t>
      </w:r>
      <w:proofErr w:type="spellStart"/>
      <w:r w:rsidRPr="009D29EF">
        <w:rPr>
          <w:rFonts w:ascii="Times New Roman" w:eastAsia="Times New Roman" w:hAnsi="Times New Roman" w:cs="Times New Roman"/>
          <w:sz w:val="24"/>
          <w:szCs w:val="24"/>
          <w:lang w:eastAsia="hr-HR"/>
        </w:rPr>
        <w:t>Parenzo</w:t>
      </w:r>
      <w:proofErr w:type="spellEnd"/>
      <w:r w:rsidRPr="009D29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(,,Službeni glasnik Grada Poreča-</w:t>
      </w:r>
      <w:proofErr w:type="spellStart"/>
      <w:r w:rsidRPr="009D29EF">
        <w:rPr>
          <w:rFonts w:ascii="Times New Roman" w:eastAsia="Times New Roman" w:hAnsi="Times New Roman" w:cs="Times New Roman"/>
          <w:sz w:val="24"/>
          <w:szCs w:val="24"/>
          <w:lang w:eastAsia="hr-HR"/>
        </w:rPr>
        <w:t>Parenzo</w:t>
      </w:r>
      <w:proofErr w:type="spellEnd"/>
      <w:r w:rsidR="0023387B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9D29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br.2/13, 10/18 i 2/21) i na prijedlog Upravnog odjela za financije KLASA:402-01/23-01/89; URBROJ:2163-6-20/01-23-3 od 20.11.2023. godine,  Gradonačelnik Grada Poreča-</w:t>
      </w:r>
      <w:proofErr w:type="spellStart"/>
      <w:r w:rsidRPr="009D29EF">
        <w:rPr>
          <w:rFonts w:ascii="Times New Roman" w:eastAsia="Times New Roman" w:hAnsi="Times New Roman" w:cs="Times New Roman"/>
          <w:sz w:val="24"/>
          <w:szCs w:val="24"/>
          <w:lang w:eastAsia="hr-HR"/>
        </w:rPr>
        <w:t>Parenzo</w:t>
      </w:r>
      <w:proofErr w:type="spellEnd"/>
      <w:r w:rsidRPr="009D29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23. studenog 2023. godine donio slijedeći </w:t>
      </w:r>
    </w:p>
    <w:p w14:paraId="62F05C33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0DFE5F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</w:p>
    <w:p w14:paraId="45E4674A" w14:textId="77777777" w:rsidR="009D29EF" w:rsidRPr="009D29EF" w:rsidRDefault="009D29EF" w:rsidP="009D2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r w:rsidRPr="009D29EF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>Z A K LJ U Č A K</w:t>
      </w:r>
    </w:p>
    <w:p w14:paraId="665B677C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</w:p>
    <w:p w14:paraId="5B9DE593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</w:p>
    <w:p w14:paraId="537D16F6" w14:textId="77777777" w:rsidR="009D29EF" w:rsidRPr="009D29EF" w:rsidRDefault="009D29EF" w:rsidP="009D2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29EF">
        <w:rPr>
          <w:rFonts w:ascii="Times New Roman" w:eastAsia="Times New Roman" w:hAnsi="Times New Roman" w:cs="Times New Roman"/>
          <w:sz w:val="24"/>
          <w:szCs w:val="24"/>
          <w:lang w:eastAsia="hr-HR"/>
        </w:rPr>
        <w:t>1.    Utvrđuje se prijedlog</w:t>
      </w:r>
      <w:r w:rsidRPr="009D29EF">
        <w:rPr>
          <w:rFonts w:ascii="Times New Roman" w:eastAsia="Times New Roman" w:hAnsi="Times New Roman" w:cs="Times New Roman"/>
          <w:sz w:val="20"/>
          <w:szCs w:val="20"/>
          <w:lang w:val="en-AU" w:eastAsia="hr-HR"/>
        </w:rPr>
        <w:t xml:space="preserve"> </w:t>
      </w:r>
      <w:r w:rsidRPr="009D29EF">
        <w:rPr>
          <w:rFonts w:ascii="Times New Roman" w:eastAsia="Times New Roman" w:hAnsi="Times New Roman" w:cs="Times New Roman"/>
          <w:sz w:val="24"/>
          <w:szCs w:val="24"/>
          <w:lang w:eastAsia="hr-HR"/>
        </w:rPr>
        <w:t>Odluke o porezima Grada Poreča-</w:t>
      </w:r>
      <w:proofErr w:type="spellStart"/>
      <w:r w:rsidRPr="009D29EF">
        <w:rPr>
          <w:rFonts w:ascii="Times New Roman" w:eastAsia="Times New Roman" w:hAnsi="Times New Roman" w:cs="Times New Roman"/>
          <w:sz w:val="24"/>
          <w:szCs w:val="24"/>
          <w:lang w:eastAsia="hr-HR"/>
        </w:rPr>
        <w:t>Parenzo</w:t>
      </w:r>
      <w:proofErr w:type="spellEnd"/>
      <w:r w:rsidRPr="009D29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se dostavlja Gradskom vijeću Grada Poreča-</w:t>
      </w:r>
      <w:proofErr w:type="spellStart"/>
      <w:r w:rsidRPr="009D29EF">
        <w:rPr>
          <w:rFonts w:ascii="Times New Roman" w:eastAsia="Times New Roman" w:hAnsi="Times New Roman" w:cs="Times New Roman"/>
          <w:sz w:val="24"/>
          <w:szCs w:val="24"/>
          <w:lang w:eastAsia="hr-HR"/>
        </w:rPr>
        <w:t>Parenzo</w:t>
      </w:r>
      <w:proofErr w:type="spellEnd"/>
      <w:r w:rsidRPr="009D29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razmatranje i donošenje u priloženom tekstu.</w:t>
      </w:r>
    </w:p>
    <w:p w14:paraId="00E6BE0D" w14:textId="77777777" w:rsidR="009D29EF" w:rsidRPr="009D29EF" w:rsidRDefault="009D29EF" w:rsidP="009D2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F15B4AB" w14:textId="77777777" w:rsidR="009D29EF" w:rsidRPr="009D29EF" w:rsidRDefault="009D29EF" w:rsidP="009D29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29EF">
        <w:rPr>
          <w:rFonts w:ascii="Times New Roman" w:eastAsia="Times New Roman" w:hAnsi="Times New Roman" w:cs="Times New Roman"/>
          <w:sz w:val="24"/>
          <w:szCs w:val="24"/>
          <w:lang w:eastAsia="hr-HR"/>
        </w:rPr>
        <w:t>2.   Na sjednici Gradskog vijeća sva će potrebna tumačenja uz prijedlog Odluke</w:t>
      </w:r>
      <w:r w:rsidRPr="009D29EF">
        <w:rPr>
          <w:rFonts w:ascii="Times New Roman" w:eastAsia="Times New Roman" w:hAnsi="Times New Roman" w:cs="Times New Roman"/>
          <w:sz w:val="20"/>
          <w:szCs w:val="20"/>
          <w:lang w:val="en-AU" w:eastAsia="hr-HR"/>
        </w:rPr>
        <w:t xml:space="preserve"> </w:t>
      </w:r>
      <w:r w:rsidRPr="009D29EF">
        <w:rPr>
          <w:rFonts w:ascii="Times New Roman" w:eastAsia="Times New Roman" w:hAnsi="Times New Roman" w:cs="Times New Roman"/>
          <w:sz w:val="24"/>
          <w:szCs w:val="24"/>
          <w:lang w:eastAsia="hr-HR"/>
        </w:rPr>
        <w:t>iz točke 1. ovog Zaključka dati Tatjana Matošević, pročelnica Upravnog odjela za financije.</w:t>
      </w:r>
    </w:p>
    <w:p w14:paraId="6EC0C396" w14:textId="77777777" w:rsidR="009D29EF" w:rsidRPr="009D29EF" w:rsidRDefault="009D29EF" w:rsidP="009D2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</w:p>
    <w:p w14:paraId="741C310F" w14:textId="77777777" w:rsidR="009D29EF" w:rsidRPr="009D29EF" w:rsidRDefault="009D29EF" w:rsidP="009D2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r w:rsidRPr="009D29EF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 </w:t>
      </w:r>
    </w:p>
    <w:p w14:paraId="789313B1" w14:textId="77777777" w:rsidR="009D29EF" w:rsidRPr="009D29EF" w:rsidRDefault="009D29EF" w:rsidP="009D2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r w:rsidRPr="009D29EF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                                                                                                       GRADONAČELNIK</w:t>
      </w:r>
    </w:p>
    <w:p w14:paraId="3D676842" w14:textId="77777777" w:rsidR="009D29EF" w:rsidRPr="009D29EF" w:rsidRDefault="009D29EF" w:rsidP="009D29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</w:pPr>
      <w:r w:rsidRPr="009D29EF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 xml:space="preserve">                                         </w:t>
      </w:r>
      <w:r w:rsidRPr="009D29EF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tab/>
      </w:r>
      <w:r w:rsidRPr="009D29EF"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  <w:t xml:space="preserve">                                                        Loris Peršurić</w:t>
      </w:r>
    </w:p>
    <w:p w14:paraId="431788AA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E2AFAE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B7AA2D1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C50877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E27D39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EAABD3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CEBFBB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99E2900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397A417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B7EDDF2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D1573B8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2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DOSTAVITI</w:t>
      </w:r>
      <w:r w:rsidRPr="009D29E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2B05156A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29EF">
        <w:rPr>
          <w:rFonts w:ascii="Times New Roman" w:eastAsia="Times New Roman" w:hAnsi="Times New Roman" w:cs="Times New Roman"/>
          <w:sz w:val="24"/>
          <w:szCs w:val="24"/>
          <w:lang w:eastAsia="hr-HR"/>
        </w:rPr>
        <w:t>1. Gradsko vijeće, ovdje,</w:t>
      </w:r>
    </w:p>
    <w:p w14:paraId="7D13467E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29EF">
        <w:rPr>
          <w:rFonts w:ascii="Times New Roman" w:eastAsia="Times New Roman" w:hAnsi="Times New Roman" w:cs="Times New Roman"/>
          <w:sz w:val="24"/>
          <w:szCs w:val="24"/>
          <w:lang w:eastAsia="hr-HR"/>
        </w:rPr>
        <w:t>2. Upravni odjel za financije, ovdje,</w:t>
      </w:r>
    </w:p>
    <w:p w14:paraId="67843872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29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Pismohrana, ovdje.            </w:t>
      </w:r>
    </w:p>
    <w:p w14:paraId="5676642D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47463EE" w14:textId="77777777" w:rsidR="009D29EF" w:rsidRDefault="009D29EF" w:rsidP="00FE2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094CDB" w14:textId="6C49F931" w:rsidR="009D29EF" w:rsidRDefault="009D29EF" w:rsidP="00FE2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E9C236" w14:textId="5ECC83BB" w:rsidR="009D29EF" w:rsidRDefault="009D29EF" w:rsidP="00FE2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E68F59" w14:textId="77777777" w:rsidR="009D29EF" w:rsidRDefault="009D29EF" w:rsidP="00FE2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3CAA4D" w14:textId="77777777" w:rsidR="009D29EF" w:rsidRDefault="009D29EF" w:rsidP="00FE2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00FBF0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9D29EF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                  </w:t>
      </w:r>
      <w:r w:rsidRPr="009D29EF">
        <w:rPr>
          <w:rFonts w:ascii="Times New Roman" w:eastAsia="Times New Roman" w:hAnsi="Times New Roman" w:cs="Times New Roman"/>
          <w:sz w:val="24"/>
          <w:szCs w:val="20"/>
          <w:lang w:eastAsia="hr-HR"/>
        </w:rPr>
        <w:object w:dxaOrig="790" w:dyaOrig="995" w14:anchorId="06E80B2A">
          <v:shape id="_x0000_i1026" type="#_x0000_t75" style="width:39.75pt;height:50.1pt" o:ole="" fillcolor="window">
            <v:imagedata r:id="rId8" o:title=""/>
          </v:shape>
          <o:OLEObject Type="Embed" ProgID="CorelDraw.Graphic.8" ShapeID="_x0000_i1026" DrawAspect="Content" ObjectID="_1762247396" r:id="rId10"/>
        </w:object>
      </w:r>
    </w:p>
    <w:p w14:paraId="33CDEA13" w14:textId="77777777" w:rsidR="009D29EF" w:rsidRPr="009D29EF" w:rsidRDefault="009D29EF" w:rsidP="009D2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D2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REPUBLIKA HRVATSKA</w:t>
      </w:r>
    </w:p>
    <w:p w14:paraId="7D99A41B" w14:textId="77777777" w:rsidR="009D29EF" w:rsidRPr="009D29EF" w:rsidRDefault="009D29EF" w:rsidP="009D29EF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D2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ISTARSKA ŽUPANIJA</w:t>
      </w:r>
    </w:p>
    <w:p w14:paraId="0A398B69" w14:textId="77777777" w:rsidR="009D29EF" w:rsidRPr="009D29EF" w:rsidRDefault="009D29EF" w:rsidP="009D2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D2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GRAD POREČ - PARENZO </w:t>
      </w:r>
    </w:p>
    <w:p w14:paraId="5CA5E853" w14:textId="77777777" w:rsidR="009D29EF" w:rsidRPr="009D29EF" w:rsidRDefault="009D29EF" w:rsidP="009D2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D29E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CITTÀ DI POREČ - PARENZO</w:t>
      </w:r>
    </w:p>
    <w:p w14:paraId="63CEA64C" w14:textId="20600100" w:rsidR="009D29EF" w:rsidRPr="009D29EF" w:rsidRDefault="009D29EF" w:rsidP="009D2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9D29E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 xml:space="preserve">             Grad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sko vijeće</w:t>
      </w:r>
    </w:p>
    <w:p w14:paraId="09CE8BE7" w14:textId="77777777" w:rsidR="009D29EF" w:rsidRPr="009D29EF" w:rsidRDefault="009D29EF" w:rsidP="009D2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9D29E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KLASA:</w:t>
      </w:r>
    </w:p>
    <w:p w14:paraId="53D9CBAC" w14:textId="77777777" w:rsidR="009D29EF" w:rsidRPr="009D29EF" w:rsidRDefault="009D29EF" w:rsidP="009D2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9D29E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URBROJ:</w:t>
      </w:r>
    </w:p>
    <w:p w14:paraId="65676C82" w14:textId="77777777" w:rsidR="009D29EF" w:rsidRPr="009D29EF" w:rsidRDefault="009D29EF" w:rsidP="009D29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</w:pPr>
      <w:r w:rsidRPr="009D29E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Poreč-</w:t>
      </w:r>
      <w:proofErr w:type="spellStart"/>
      <w:r w:rsidRPr="009D29E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Parenzo</w:t>
      </w:r>
      <w:proofErr w:type="spellEnd"/>
      <w:r w:rsidRPr="009D29EF">
        <w:rPr>
          <w:rFonts w:ascii="Times New Roman" w:eastAsia="Times New Roman" w:hAnsi="Times New Roman" w:cs="Times New Roman"/>
          <w:b/>
          <w:sz w:val="24"/>
          <w:szCs w:val="20"/>
          <w:lang w:eastAsia="hr-HR"/>
        </w:rPr>
        <w:t>,</w:t>
      </w:r>
    </w:p>
    <w:p w14:paraId="5A1AA511" w14:textId="77777777" w:rsidR="009D29EF" w:rsidRDefault="009D29EF" w:rsidP="00FE2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ABCAD9" w14:textId="0089A2C7" w:rsidR="00426C0A" w:rsidRDefault="00B52EEB" w:rsidP="009D2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6D73">
        <w:rPr>
          <w:rFonts w:ascii="Times New Roman" w:hAnsi="Times New Roman" w:cs="Times New Roman"/>
          <w:sz w:val="24"/>
          <w:szCs w:val="24"/>
        </w:rPr>
        <w:t>Na temelju članka 20. i 42. stavka 1. Zakona o lokalnim porezima (</w:t>
      </w:r>
      <w:r w:rsidR="00B2479B" w:rsidRPr="006B6D73">
        <w:rPr>
          <w:rFonts w:ascii="Times New Roman" w:hAnsi="Times New Roman" w:cs="Times New Roman"/>
          <w:sz w:val="24"/>
          <w:szCs w:val="24"/>
        </w:rPr>
        <w:t>„</w:t>
      </w:r>
      <w:r w:rsidRPr="006B6D73">
        <w:rPr>
          <w:rFonts w:ascii="Times New Roman" w:hAnsi="Times New Roman" w:cs="Times New Roman"/>
          <w:sz w:val="24"/>
          <w:szCs w:val="24"/>
        </w:rPr>
        <w:t>Narodne novine</w:t>
      </w:r>
      <w:r w:rsidR="00B2479B" w:rsidRPr="006B6D73">
        <w:rPr>
          <w:rFonts w:ascii="Times New Roman" w:hAnsi="Times New Roman" w:cs="Times New Roman"/>
          <w:sz w:val="24"/>
          <w:szCs w:val="24"/>
        </w:rPr>
        <w:t>“</w:t>
      </w:r>
      <w:r w:rsidR="006B6D73" w:rsidRPr="006B6D73">
        <w:rPr>
          <w:rFonts w:ascii="Times New Roman" w:hAnsi="Times New Roman" w:cs="Times New Roman"/>
          <w:sz w:val="24"/>
          <w:szCs w:val="24"/>
        </w:rPr>
        <w:t xml:space="preserve">, </w:t>
      </w:r>
      <w:r w:rsidRPr="006B6D73">
        <w:rPr>
          <w:rFonts w:ascii="Times New Roman" w:hAnsi="Times New Roman" w:cs="Times New Roman"/>
          <w:sz w:val="24"/>
          <w:szCs w:val="24"/>
        </w:rPr>
        <w:t>broj 115/16</w:t>
      </w:r>
      <w:r w:rsidR="00A26D1E" w:rsidRPr="006B6D73">
        <w:rPr>
          <w:rFonts w:ascii="Times New Roman" w:hAnsi="Times New Roman" w:cs="Times New Roman"/>
          <w:sz w:val="24"/>
          <w:szCs w:val="24"/>
        </w:rPr>
        <w:t xml:space="preserve">, </w:t>
      </w:r>
      <w:r w:rsidRPr="006B6D73">
        <w:rPr>
          <w:rFonts w:ascii="Times New Roman" w:hAnsi="Times New Roman" w:cs="Times New Roman"/>
          <w:sz w:val="24"/>
          <w:szCs w:val="24"/>
        </w:rPr>
        <w:t>101/17</w:t>
      </w:r>
      <w:r w:rsidR="00A26D1E" w:rsidRPr="006B6D73">
        <w:rPr>
          <w:rFonts w:ascii="Times New Roman" w:hAnsi="Times New Roman" w:cs="Times New Roman"/>
          <w:sz w:val="24"/>
          <w:szCs w:val="24"/>
        </w:rPr>
        <w:t>, 114/22</w:t>
      </w:r>
      <w:r w:rsidR="006B6D73" w:rsidRPr="006B6D73">
        <w:rPr>
          <w:rFonts w:ascii="Times New Roman" w:hAnsi="Times New Roman" w:cs="Times New Roman"/>
          <w:sz w:val="24"/>
          <w:szCs w:val="24"/>
        </w:rPr>
        <w:t xml:space="preserve"> i</w:t>
      </w:r>
      <w:r w:rsidR="00A26D1E" w:rsidRPr="006B6D73">
        <w:rPr>
          <w:rFonts w:ascii="Times New Roman" w:hAnsi="Times New Roman" w:cs="Times New Roman"/>
          <w:sz w:val="24"/>
          <w:szCs w:val="24"/>
        </w:rPr>
        <w:t xml:space="preserve"> 114/23</w:t>
      </w:r>
      <w:r w:rsidRPr="006B6D73">
        <w:rPr>
          <w:rFonts w:ascii="Times New Roman" w:hAnsi="Times New Roman" w:cs="Times New Roman"/>
          <w:sz w:val="24"/>
          <w:szCs w:val="24"/>
        </w:rPr>
        <w:t>) i članka 41. Statuta Grada Poreča-</w:t>
      </w:r>
      <w:proofErr w:type="spellStart"/>
      <w:r w:rsidRPr="006B6D73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Pr="006B6D73">
        <w:rPr>
          <w:rFonts w:ascii="Times New Roman" w:hAnsi="Times New Roman" w:cs="Times New Roman"/>
          <w:sz w:val="24"/>
          <w:szCs w:val="24"/>
        </w:rPr>
        <w:t xml:space="preserve"> (</w:t>
      </w:r>
      <w:r w:rsidR="00B2479B" w:rsidRPr="006B6D73">
        <w:rPr>
          <w:rFonts w:ascii="Times New Roman" w:hAnsi="Times New Roman" w:cs="Times New Roman"/>
          <w:sz w:val="24"/>
          <w:szCs w:val="24"/>
        </w:rPr>
        <w:t>„</w:t>
      </w:r>
      <w:r w:rsidRPr="006B6D73">
        <w:rPr>
          <w:rFonts w:ascii="Times New Roman" w:hAnsi="Times New Roman" w:cs="Times New Roman"/>
          <w:sz w:val="24"/>
          <w:szCs w:val="24"/>
        </w:rPr>
        <w:t>Službeni glasnik Grada Poreča</w:t>
      </w:r>
      <w:r w:rsidR="00B2479B" w:rsidRPr="006B6D7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B2479B" w:rsidRPr="006B6D73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="00FC5E0D">
        <w:rPr>
          <w:rFonts w:ascii="Times New Roman" w:hAnsi="Times New Roman" w:cs="Times New Roman"/>
          <w:sz w:val="24"/>
          <w:szCs w:val="24"/>
        </w:rPr>
        <w:t>“</w:t>
      </w:r>
      <w:r w:rsidR="006B6D73">
        <w:rPr>
          <w:rFonts w:ascii="Times New Roman" w:hAnsi="Times New Roman" w:cs="Times New Roman"/>
          <w:sz w:val="24"/>
          <w:szCs w:val="24"/>
        </w:rPr>
        <w:t>,</w:t>
      </w:r>
      <w:r w:rsidRPr="006B6D73">
        <w:rPr>
          <w:rFonts w:ascii="Times New Roman" w:hAnsi="Times New Roman" w:cs="Times New Roman"/>
          <w:sz w:val="24"/>
          <w:szCs w:val="24"/>
        </w:rPr>
        <w:t xml:space="preserve"> broj 2/13</w:t>
      </w:r>
      <w:r w:rsidR="00F12894" w:rsidRPr="006B6D73">
        <w:rPr>
          <w:rFonts w:ascii="Times New Roman" w:hAnsi="Times New Roman" w:cs="Times New Roman"/>
          <w:sz w:val="24"/>
          <w:szCs w:val="24"/>
        </w:rPr>
        <w:t>,</w:t>
      </w:r>
      <w:r w:rsidRPr="006B6D73">
        <w:rPr>
          <w:rFonts w:ascii="Times New Roman" w:hAnsi="Times New Roman" w:cs="Times New Roman"/>
          <w:sz w:val="24"/>
          <w:szCs w:val="24"/>
        </w:rPr>
        <w:t xml:space="preserve"> 10/18</w:t>
      </w:r>
      <w:r w:rsidR="00F12894" w:rsidRPr="006B6D73">
        <w:rPr>
          <w:rFonts w:ascii="Times New Roman" w:hAnsi="Times New Roman" w:cs="Times New Roman"/>
          <w:sz w:val="24"/>
          <w:szCs w:val="24"/>
        </w:rPr>
        <w:t xml:space="preserve"> i </w:t>
      </w:r>
      <w:r w:rsidR="00F969F6" w:rsidRPr="006B6D73">
        <w:rPr>
          <w:rFonts w:ascii="Times New Roman" w:hAnsi="Times New Roman" w:cs="Times New Roman"/>
          <w:sz w:val="24"/>
          <w:szCs w:val="24"/>
        </w:rPr>
        <w:t>2/21</w:t>
      </w:r>
      <w:r w:rsidRPr="006B6D73">
        <w:rPr>
          <w:rFonts w:ascii="Times New Roman" w:hAnsi="Times New Roman" w:cs="Times New Roman"/>
          <w:sz w:val="24"/>
          <w:szCs w:val="24"/>
        </w:rPr>
        <w:t>), Gradsko vijeće Grada Poreča-</w:t>
      </w:r>
      <w:proofErr w:type="spellStart"/>
      <w:r w:rsidRPr="006B6D73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Pr="006B6D73">
        <w:rPr>
          <w:rFonts w:ascii="Times New Roman" w:hAnsi="Times New Roman" w:cs="Times New Roman"/>
          <w:sz w:val="24"/>
          <w:szCs w:val="24"/>
        </w:rPr>
        <w:t xml:space="preserve"> na sjednici održanoj </w:t>
      </w:r>
      <w:r w:rsidR="002B01F0">
        <w:rPr>
          <w:rFonts w:ascii="Times New Roman" w:hAnsi="Times New Roman" w:cs="Times New Roman"/>
          <w:sz w:val="24"/>
          <w:szCs w:val="24"/>
        </w:rPr>
        <w:t>…………..</w:t>
      </w:r>
      <w:r w:rsidRPr="006B6D73">
        <w:rPr>
          <w:rFonts w:ascii="Times New Roman" w:hAnsi="Times New Roman" w:cs="Times New Roman"/>
          <w:sz w:val="24"/>
          <w:szCs w:val="24"/>
        </w:rPr>
        <w:t xml:space="preserve"> 20</w:t>
      </w:r>
      <w:r w:rsidR="00B2479B" w:rsidRPr="006B6D73">
        <w:rPr>
          <w:rFonts w:ascii="Times New Roman" w:hAnsi="Times New Roman" w:cs="Times New Roman"/>
          <w:sz w:val="24"/>
          <w:szCs w:val="24"/>
        </w:rPr>
        <w:t>23</w:t>
      </w:r>
      <w:r w:rsidRPr="006B6D73">
        <w:rPr>
          <w:rFonts w:ascii="Times New Roman" w:hAnsi="Times New Roman" w:cs="Times New Roman"/>
          <w:sz w:val="24"/>
          <w:szCs w:val="24"/>
        </w:rPr>
        <w:t>. godine, donijelo je</w:t>
      </w:r>
      <w:r w:rsidR="009D29EF">
        <w:rPr>
          <w:rFonts w:ascii="Times New Roman" w:hAnsi="Times New Roman" w:cs="Times New Roman"/>
          <w:sz w:val="24"/>
          <w:szCs w:val="24"/>
        </w:rPr>
        <w:t xml:space="preserve"> sljedeću</w:t>
      </w:r>
    </w:p>
    <w:p w14:paraId="2AE8253C" w14:textId="459C88B2" w:rsidR="00426C0A" w:rsidRDefault="00426C0A" w:rsidP="006B6D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5126EF" w14:textId="4B919403" w:rsidR="008352EA" w:rsidRPr="008352EA" w:rsidRDefault="008352EA" w:rsidP="006B6D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52EA">
        <w:rPr>
          <w:rFonts w:ascii="Times New Roman" w:hAnsi="Times New Roman" w:cs="Times New Roman"/>
          <w:b/>
          <w:bCs/>
          <w:sz w:val="24"/>
          <w:szCs w:val="24"/>
        </w:rPr>
        <w:t>ODLUKA</w:t>
      </w:r>
    </w:p>
    <w:p w14:paraId="4AB9DEA5" w14:textId="36D590DD" w:rsidR="005930C7" w:rsidRDefault="00375C15" w:rsidP="006B6D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52EA">
        <w:rPr>
          <w:rFonts w:ascii="Times New Roman" w:hAnsi="Times New Roman" w:cs="Times New Roman"/>
          <w:b/>
          <w:bCs/>
          <w:sz w:val="24"/>
          <w:szCs w:val="24"/>
        </w:rPr>
        <w:t>o porezima Grada Poreča-</w:t>
      </w:r>
      <w:proofErr w:type="spellStart"/>
      <w:r w:rsidRPr="008352EA">
        <w:rPr>
          <w:rFonts w:ascii="Times New Roman" w:hAnsi="Times New Roman" w:cs="Times New Roman"/>
          <w:b/>
          <w:bCs/>
          <w:sz w:val="24"/>
          <w:szCs w:val="24"/>
        </w:rPr>
        <w:t>Parenzo</w:t>
      </w:r>
      <w:proofErr w:type="spellEnd"/>
    </w:p>
    <w:p w14:paraId="214A6BFF" w14:textId="3F1DE523" w:rsidR="008352EA" w:rsidRDefault="008352EA" w:rsidP="006B6D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C3ED6" w14:textId="77777777" w:rsidR="008352EA" w:rsidRDefault="008352EA" w:rsidP="006B6D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9E2B5" w14:textId="1A3390C1" w:rsidR="008352EA" w:rsidRDefault="008352EA" w:rsidP="006B6D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52EA">
        <w:rPr>
          <w:rFonts w:ascii="Times New Roman" w:hAnsi="Times New Roman" w:cs="Times New Roman"/>
          <w:b/>
          <w:bCs/>
          <w:sz w:val="24"/>
          <w:szCs w:val="24"/>
        </w:rPr>
        <w:t>I.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8352EA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30311F07" w14:textId="6490B29E" w:rsidR="008352EA" w:rsidRDefault="008352EA" w:rsidP="006B6D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43A2C" w14:textId="571DBBFD" w:rsidR="008352EA" w:rsidRPr="008352EA" w:rsidRDefault="008352EA" w:rsidP="009D29E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352EA">
        <w:rPr>
          <w:rFonts w:ascii="Times New Roman" w:hAnsi="Times New Roman" w:cs="Times New Roman"/>
          <w:b/>
          <w:bCs/>
        </w:rPr>
        <w:t>Članak 1.</w:t>
      </w:r>
    </w:p>
    <w:p w14:paraId="443DA500" w14:textId="77777777" w:rsidR="00413927" w:rsidRPr="00413927" w:rsidRDefault="008352EA" w:rsidP="004139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50E1">
        <w:rPr>
          <w:rFonts w:ascii="Times New Roman" w:hAnsi="Times New Roman" w:cs="Times New Roman"/>
          <w:sz w:val="24"/>
          <w:szCs w:val="24"/>
        </w:rPr>
        <w:t>Ovom Odlukom određuju se vrste lokalnih poreza</w:t>
      </w:r>
      <w:r w:rsidR="00413927">
        <w:rPr>
          <w:rFonts w:ascii="Times New Roman" w:hAnsi="Times New Roman" w:cs="Times New Roman"/>
          <w:sz w:val="24"/>
          <w:szCs w:val="24"/>
        </w:rPr>
        <w:t xml:space="preserve"> koji pripadaju Gradu Poreču-</w:t>
      </w:r>
      <w:proofErr w:type="spellStart"/>
      <w:r w:rsidR="00413927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Pr="001250E1">
        <w:rPr>
          <w:rFonts w:ascii="Times New Roman" w:hAnsi="Times New Roman" w:cs="Times New Roman"/>
          <w:sz w:val="24"/>
          <w:szCs w:val="24"/>
        </w:rPr>
        <w:t xml:space="preserve"> </w:t>
      </w:r>
      <w:r w:rsidR="00AB621E" w:rsidRPr="001250E1">
        <w:rPr>
          <w:rFonts w:ascii="Times New Roman" w:hAnsi="Times New Roman" w:cs="Times New Roman"/>
          <w:sz w:val="24"/>
          <w:szCs w:val="24"/>
        </w:rPr>
        <w:t>(u</w:t>
      </w:r>
      <w:r w:rsidR="00AB621E" w:rsidRPr="001250E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B621E" w:rsidRPr="001250E1">
        <w:rPr>
          <w:rFonts w:ascii="Times New Roman" w:hAnsi="Times New Roman" w:cs="Times New Roman"/>
          <w:sz w:val="24"/>
          <w:szCs w:val="24"/>
        </w:rPr>
        <w:t>daljnjem tekstu: Grad</w:t>
      </w:r>
      <w:r w:rsidR="00AB621E">
        <w:rPr>
          <w:rFonts w:ascii="Times New Roman" w:hAnsi="Times New Roman" w:cs="Times New Roman"/>
          <w:sz w:val="24"/>
          <w:szCs w:val="24"/>
        </w:rPr>
        <w:t>)</w:t>
      </w:r>
      <w:r w:rsidR="00413927">
        <w:rPr>
          <w:rFonts w:ascii="Times New Roman" w:hAnsi="Times New Roman" w:cs="Times New Roman"/>
          <w:sz w:val="24"/>
          <w:szCs w:val="24"/>
        </w:rPr>
        <w:t>, stope i visina</w:t>
      </w:r>
      <w:r w:rsidR="00413927" w:rsidRPr="001250E1">
        <w:rPr>
          <w:rFonts w:ascii="Times New Roman" w:hAnsi="Times New Roman" w:cs="Times New Roman"/>
          <w:sz w:val="24"/>
          <w:szCs w:val="24"/>
        </w:rPr>
        <w:t xml:space="preserve"> poreza</w:t>
      </w:r>
      <w:r w:rsidR="00413927">
        <w:rPr>
          <w:rFonts w:ascii="Times New Roman" w:hAnsi="Times New Roman" w:cs="Times New Roman"/>
          <w:sz w:val="24"/>
          <w:szCs w:val="24"/>
        </w:rPr>
        <w:t xml:space="preserve"> </w:t>
      </w:r>
      <w:r w:rsidR="00413927" w:rsidRPr="00413927">
        <w:rPr>
          <w:rFonts w:ascii="Times New Roman" w:hAnsi="Times New Roman" w:cs="Times New Roman"/>
          <w:sz w:val="24"/>
          <w:szCs w:val="24"/>
        </w:rPr>
        <w:t>te nadležno tijelo koje obavlja poslove u vezi s utvrđivanjem, evidentiranjem, nadzorom i naplatom poreza iz ove Odluke.</w:t>
      </w:r>
    </w:p>
    <w:p w14:paraId="7F3DBE0D" w14:textId="2F9222E1" w:rsidR="008352EA" w:rsidRDefault="008352EA" w:rsidP="006B6D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9555EA" w14:textId="2D0DE8EC" w:rsidR="008352EA" w:rsidRDefault="008352EA" w:rsidP="006B6D7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4CFC5" w14:textId="1AD8AB68" w:rsidR="008352EA" w:rsidRPr="008352EA" w:rsidRDefault="008352EA" w:rsidP="00FA3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52EA">
        <w:rPr>
          <w:rFonts w:ascii="Times New Roman" w:hAnsi="Times New Roman" w:cs="Times New Roman"/>
          <w:b/>
          <w:bCs/>
          <w:sz w:val="24"/>
          <w:szCs w:val="24"/>
        </w:rPr>
        <w:t>II. VRSTE POREZA</w:t>
      </w:r>
    </w:p>
    <w:p w14:paraId="2F76740E" w14:textId="6E4F03F7" w:rsidR="008352EA" w:rsidRPr="008352EA" w:rsidRDefault="008352EA" w:rsidP="00FA3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83C5DF" w14:textId="2AC1B8F8" w:rsidR="008352EA" w:rsidRPr="008352EA" w:rsidRDefault="008352EA" w:rsidP="009D2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52EA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337031E" w14:textId="38238048" w:rsidR="008352EA" w:rsidRPr="008352EA" w:rsidRDefault="008352EA" w:rsidP="00FE2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2EA">
        <w:rPr>
          <w:rFonts w:ascii="Times New Roman" w:hAnsi="Times New Roman" w:cs="Times New Roman"/>
          <w:sz w:val="24"/>
          <w:szCs w:val="24"/>
        </w:rPr>
        <w:t>Grad uvodi sljedeće poreze sukladno Zakonu:</w:t>
      </w:r>
    </w:p>
    <w:p w14:paraId="207F8D90" w14:textId="77777777" w:rsidR="008352EA" w:rsidRPr="008352EA" w:rsidRDefault="008352EA" w:rsidP="006B6D73">
      <w:pPr>
        <w:pStyle w:val="Odlomakpopisa"/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52EA">
        <w:rPr>
          <w:rFonts w:ascii="Times New Roman" w:hAnsi="Times New Roman" w:cs="Times New Roman"/>
          <w:sz w:val="24"/>
          <w:szCs w:val="24"/>
        </w:rPr>
        <w:t>POREZ NA POTROŠNJU,</w:t>
      </w:r>
    </w:p>
    <w:p w14:paraId="25A1E735" w14:textId="77777777" w:rsidR="00426C0A" w:rsidRDefault="008352EA" w:rsidP="006B6D73">
      <w:pPr>
        <w:pStyle w:val="Odlomakpopisa"/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352EA">
        <w:rPr>
          <w:rFonts w:ascii="Times New Roman" w:hAnsi="Times New Roman" w:cs="Times New Roman"/>
          <w:sz w:val="24"/>
          <w:szCs w:val="24"/>
        </w:rPr>
        <w:t>POREZ NA KUĆE ZA ODMOR,</w:t>
      </w:r>
    </w:p>
    <w:p w14:paraId="3672F53D" w14:textId="06CDF0F7" w:rsidR="008352EA" w:rsidRPr="00426C0A" w:rsidRDefault="008352EA" w:rsidP="006B6D73">
      <w:pPr>
        <w:pStyle w:val="Odlomakpopisa"/>
        <w:widowControl w:val="0"/>
        <w:numPr>
          <w:ilvl w:val="0"/>
          <w:numId w:val="6"/>
        </w:numPr>
        <w:tabs>
          <w:tab w:val="left" w:pos="38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26C0A">
        <w:rPr>
          <w:rFonts w:ascii="Times New Roman" w:hAnsi="Times New Roman" w:cs="Times New Roman"/>
          <w:sz w:val="24"/>
          <w:szCs w:val="24"/>
        </w:rPr>
        <w:t>POREZ</w:t>
      </w:r>
      <w:r w:rsidRPr="00426C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6C0A">
        <w:rPr>
          <w:rFonts w:ascii="Times New Roman" w:hAnsi="Times New Roman" w:cs="Times New Roman"/>
          <w:sz w:val="24"/>
          <w:szCs w:val="24"/>
        </w:rPr>
        <w:t>NA</w:t>
      </w:r>
      <w:r w:rsidRPr="00426C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6C0A">
        <w:rPr>
          <w:rFonts w:ascii="Times New Roman" w:hAnsi="Times New Roman" w:cs="Times New Roman"/>
          <w:sz w:val="24"/>
          <w:szCs w:val="24"/>
        </w:rPr>
        <w:t>KORIŠTENJE</w:t>
      </w:r>
      <w:r w:rsidRPr="00426C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6C0A">
        <w:rPr>
          <w:rFonts w:ascii="Times New Roman" w:hAnsi="Times New Roman" w:cs="Times New Roman"/>
          <w:sz w:val="24"/>
          <w:szCs w:val="24"/>
        </w:rPr>
        <w:t>JAVNIH</w:t>
      </w:r>
      <w:r w:rsidRPr="00426C0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426C0A">
        <w:rPr>
          <w:rFonts w:ascii="Times New Roman" w:hAnsi="Times New Roman" w:cs="Times New Roman"/>
          <w:sz w:val="24"/>
          <w:szCs w:val="24"/>
        </w:rPr>
        <w:t>POVRŠINA.</w:t>
      </w:r>
    </w:p>
    <w:p w14:paraId="699926C4" w14:textId="77777777" w:rsidR="00FE2CA9" w:rsidRDefault="00FE2CA9" w:rsidP="006B6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18ABE6" w14:textId="5DABB994" w:rsidR="008352EA" w:rsidRDefault="00FE2CA9" w:rsidP="00FA3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352EA" w:rsidRPr="008352EA">
        <w:rPr>
          <w:rFonts w:ascii="Times New Roman" w:hAnsi="Times New Roman" w:cs="Times New Roman"/>
          <w:b/>
          <w:bCs/>
          <w:sz w:val="24"/>
          <w:szCs w:val="24"/>
        </w:rPr>
        <w:t>. POREZ NA POTROŠNJU</w:t>
      </w:r>
    </w:p>
    <w:p w14:paraId="6AB8E3F5" w14:textId="77777777" w:rsidR="008352EA" w:rsidRPr="008352EA" w:rsidRDefault="008352EA" w:rsidP="00FA310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A30D2" w14:textId="64E1D6B0" w:rsidR="008352EA" w:rsidRDefault="008352EA" w:rsidP="009D2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52EA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023559C7" w14:textId="7E2A5B5E" w:rsidR="008352EA" w:rsidRPr="008352EA" w:rsidRDefault="008352EA" w:rsidP="00FE2C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52EA">
        <w:rPr>
          <w:rFonts w:ascii="Times New Roman" w:hAnsi="Times New Roman" w:cs="Times New Roman"/>
          <w:sz w:val="24"/>
          <w:szCs w:val="24"/>
        </w:rPr>
        <w:t>Porez na po</w:t>
      </w:r>
      <w:r w:rsidR="00F72E58">
        <w:rPr>
          <w:rFonts w:ascii="Times New Roman" w:hAnsi="Times New Roman" w:cs="Times New Roman"/>
          <w:sz w:val="24"/>
          <w:szCs w:val="24"/>
        </w:rPr>
        <w:t>trošnju plaća se po stopi od 3%.</w:t>
      </w:r>
    </w:p>
    <w:p w14:paraId="670F28DA" w14:textId="16F86D11" w:rsidR="008352EA" w:rsidRDefault="008352EA" w:rsidP="006B6D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0367C" w14:textId="5B3456A3" w:rsidR="00426C0A" w:rsidRPr="009D29EF" w:rsidRDefault="008352EA" w:rsidP="009D2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001A7B6F" w14:textId="7E6DDBC1" w:rsidR="005D0FA7" w:rsidRPr="00165A99" w:rsidRDefault="00B576E3" w:rsidP="006B6D73">
      <w:pPr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101306" w:rsidRPr="00165A99">
        <w:rPr>
          <w:rFonts w:ascii="Times New Roman" w:hAnsi="Times New Roman" w:cs="Times New Roman"/>
          <w:bCs/>
          <w:sz w:val="24"/>
          <w:szCs w:val="24"/>
        </w:rPr>
        <w:t>Poslove utvrđivanja, nadzora, naplate i ovrhe radi naplate poreza na potrošnju obavlja Upravni odjel za financije Grada</w:t>
      </w:r>
      <w:r w:rsidR="005D6F10" w:rsidRPr="00165A99">
        <w:rPr>
          <w:rFonts w:ascii="Times New Roman" w:hAnsi="Times New Roman" w:cs="Times New Roman"/>
          <w:bCs/>
          <w:sz w:val="24"/>
          <w:szCs w:val="24"/>
        </w:rPr>
        <w:t xml:space="preserve"> Poreča-</w:t>
      </w:r>
      <w:proofErr w:type="spellStart"/>
      <w:r w:rsidR="005D6F10" w:rsidRPr="00165A99">
        <w:rPr>
          <w:rFonts w:ascii="Times New Roman" w:hAnsi="Times New Roman" w:cs="Times New Roman"/>
          <w:bCs/>
          <w:sz w:val="24"/>
          <w:szCs w:val="24"/>
        </w:rPr>
        <w:t>Parenzo</w:t>
      </w:r>
      <w:proofErr w:type="spellEnd"/>
      <w:r w:rsidR="005D6F10" w:rsidRPr="00165A9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1A1AA6" w14:textId="77777777" w:rsidR="001250E1" w:rsidRDefault="001250E1" w:rsidP="006B6D73">
      <w:pPr>
        <w:spacing w:after="0" w:line="240" w:lineRule="auto"/>
        <w:ind w:right="28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BD0A9E" w14:textId="38EFEEE2" w:rsidR="005D0FA7" w:rsidRDefault="00FE2CA9" w:rsidP="00FA310C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D0FA7">
        <w:rPr>
          <w:rFonts w:ascii="Times New Roman" w:hAnsi="Times New Roman" w:cs="Times New Roman"/>
          <w:b/>
          <w:bCs/>
          <w:sz w:val="24"/>
          <w:szCs w:val="24"/>
        </w:rPr>
        <w:t>. POREZ NA KUĆE ZA ODMOR</w:t>
      </w:r>
    </w:p>
    <w:p w14:paraId="43699E95" w14:textId="77777777" w:rsidR="005D0FA7" w:rsidRDefault="005D0FA7" w:rsidP="00FA310C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B93BC1" w14:textId="77777777" w:rsidR="009D29EF" w:rsidRDefault="009D29EF" w:rsidP="00FA310C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94B8E" w14:textId="02365ADF" w:rsidR="005D0FA7" w:rsidRPr="009D29EF" w:rsidRDefault="005D0FA7" w:rsidP="009D29EF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5.</w:t>
      </w:r>
    </w:p>
    <w:p w14:paraId="065F41D3" w14:textId="76FF4500" w:rsidR="00485938" w:rsidRDefault="00FE2CA9" w:rsidP="00FE2CA9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right="-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485938">
        <w:rPr>
          <w:rFonts w:ascii="Times New Roman" w:hAnsi="Times New Roman" w:cs="Times New Roman"/>
          <w:sz w:val="24"/>
        </w:rPr>
        <w:t xml:space="preserve">Porez na kuće za odmor plaća se u iznosu od </w:t>
      </w:r>
      <w:r w:rsidR="00485938" w:rsidRPr="00C812EC">
        <w:rPr>
          <w:rFonts w:ascii="Times New Roman" w:hAnsi="Times New Roman" w:cs="Times New Roman"/>
          <w:sz w:val="24"/>
        </w:rPr>
        <w:t xml:space="preserve">5,00 </w:t>
      </w:r>
      <w:r w:rsidR="00485938">
        <w:rPr>
          <w:rFonts w:ascii="Times New Roman" w:hAnsi="Times New Roman" w:cs="Times New Roman"/>
          <w:sz w:val="24"/>
        </w:rPr>
        <w:t>eura po jednom kvadratnom metru korisne površine kuće za odmor na cijelom području grada Poreča-</w:t>
      </w:r>
      <w:proofErr w:type="spellStart"/>
      <w:r w:rsidR="00485938">
        <w:rPr>
          <w:rFonts w:ascii="Times New Roman" w:hAnsi="Times New Roman" w:cs="Times New Roman"/>
          <w:sz w:val="24"/>
        </w:rPr>
        <w:t>Parenzo</w:t>
      </w:r>
      <w:proofErr w:type="spellEnd"/>
      <w:r w:rsidR="00485938">
        <w:rPr>
          <w:rFonts w:ascii="Times New Roman" w:hAnsi="Times New Roman" w:cs="Times New Roman"/>
          <w:sz w:val="24"/>
        </w:rPr>
        <w:t>.</w:t>
      </w:r>
    </w:p>
    <w:p w14:paraId="0A07556F" w14:textId="77777777" w:rsidR="00165A99" w:rsidRDefault="00165A99" w:rsidP="006B6D73">
      <w:pPr>
        <w:spacing w:after="0" w:line="240" w:lineRule="auto"/>
        <w:ind w:right="281"/>
        <w:jc w:val="both"/>
        <w:rPr>
          <w:rFonts w:ascii="Times New Roman" w:hAnsi="Times New Roman" w:cs="Times New Roman"/>
          <w:sz w:val="24"/>
        </w:rPr>
      </w:pPr>
    </w:p>
    <w:p w14:paraId="549424B1" w14:textId="7A48DBE0" w:rsidR="005D0FA7" w:rsidRDefault="005D0FA7" w:rsidP="009D29EF">
      <w:pPr>
        <w:spacing w:after="0" w:line="240" w:lineRule="auto"/>
        <w:ind w:right="28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4528C7CD" w14:textId="5C4871D0" w:rsidR="005D0FA7" w:rsidRPr="005D0FA7" w:rsidRDefault="005D0FA7" w:rsidP="00F52039">
      <w:pPr>
        <w:pStyle w:val="Tijeloteksta"/>
        <w:ind w:right="-2" w:firstLine="709"/>
        <w:jc w:val="both"/>
      </w:pPr>
      <w:r w:rsidRPr="005D0FA7">
        <w:t>U postupku utvrđivanja statusa kuće za odmor, u smislu njenog povremenog ili sezonskog korištenja, isti će</w:t>
      </w:r>
      <w:r w:rsidR="00F72E58">
        <w:t xml:space="preserve"> </w:t>
      </w:r>
      <w:r w:rsidRPr="005D0FA7">
        <w:rPr>
          <w:spacing w:val="-58"/>
        </w:rPr>
        <w:t xml:space="preserve"> </w:t>
      </w:r>
      <w:r w:rsidRPr="005D0FA7">
        <w:t>se status utvrditi sukladno odredbama Općeg poreznog zakona koje propisuju način utvrđivanja prebivališta</w:t>
      </w:r>
      <w:r w:rsidR="00863891">
        <w:t xml:space="preserve"> </w:t>
      </w:r>
      <w:r w:rsidRPr="005D0FA7">
        <w:rPr>
          <w:spacing w:val="-57"/>
        </w:rPr>
        <w:t xml:space="preserve"> </w:t>
      </w:r>
      <w:r w:rsidRPr="005D0FA7">
        <w:t>mjerodavno za oporezivanje, pri čemu porezni obveznik snosi teret dokazivanja činjenica i okolnosti prema</w:t>
      </w:r>
      <w:r w:rsidR="00FA310C">
        <w:t xml:space="preserve"> </w:t>
      </w:r>
      <w:r w:rsidRPr="005D0FA7">
        <w:rPr>
          <w:spacing w:val="-57"/>
        </w:rPr>
        <w:t xml:space="preserve"> </w:t>
      </w:r>
      <w:r w:rsidRPr="005D0FA7">
        <w:t>kojima se utvrđuje korištenje nekretnine za stalno stanovanje sukladno odredbama Općeg poreznog zakona.</w:t>
      </w:r>
    </w:p>
    <w:p w14:paraId="74E30AF8" w14:textId="38789E9F" w:rsidR="005D0FA7" w:rsidRDefault="005D0FA7" w:rsidP="00FE2CA9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0FA7">
        <w:rPr>
          <w:rFonts w:ascii="Times New Roman" w:hAnsi="Times New Roman" w:cs="Times New Roman"/>
          <w:sz w:val="24"/>
          <w:szCs w:val="24"/>
        </w:rPr>
        <w:t>Pri promjeni vlasništva kuće za odmor tijekom kalendarske godine novi vlasnik ne plaća porez na kuće za</w:t>
      </w:r>
      <w:r w:rsidRPr="005D0FA7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460478">
        <w:rPr>
          <w:rFonts w:ascii="Times New Roman" w:hAnsi="Times New Roman" w:cs="Times New Roman"/>
          <w:spacing w:val="-57"/>
          <w:sz w:val="24"/>
          <w:szCs w:val="24"/>
        </w:rPr>
        <w:t xml:space="preserve">         o</w:t>
      </w:r>
      <w:r w:rsidRPr="005D0FA7">
        <w:rPr>
          <w:rFonts w:ascii="Times New Roman" w:hAnsi="Times New Roman" w:cs="Times New Roman"/>
          <w:sz w:val="24"/>
          <w:szCs w:val="24"/>
        </w:rPr>
        <w:t>dmor ako je taj porez bio utvrđen i naplaćen od prethodnog vlasnika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A3BE00" w14:textId="79BCF916" w:rsidR="005D0FA7" w:rsidRDefault="005D0FA7" w:rsidP="006B6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ADAE96" w14:textId="5828096D" w:rsidR="005D0FA7" w:rsidRDefault="0016365C" w:rsidP="009D2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7</w:t>
      </w:r>
      <w:r w:rsidR="005D0FA7" w:rsidRPr="005D0FA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6F641D" w14:textId="358B7759" w:rsidR="005D6F10" w:rsidRPr="00165A99" w:rsidRDefault="00102986" w:rsidP="005D6F10">
      <w:pPr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5D6F10" w:rsidRPr="00165A99">
        <w:rPr>
          <w:rFonts w:ascii="Times New Roman" w:hAnsi="Times New Roman" w:cs="Times New Roman"/>
          <w:bCs/>
          <w:sz w:val="24"/>
          <w:szCs w:val="24"/>
        </w:rPr>
        <w:t>Poslove utvrđivanja, nadzora, naplate i ovrhe radi naplate poreza na kuće za odmor obavlja Upravni odjel za financije Grada Poreča-</w:t>
      </w:r>
      <w:proofErr w:type="spellStart"/>
      <w:r w:rsidR="005D6F10" w:rsidRPr="00165A99">
        <w:rPr>
          <w:rFonts w:ascii="Times New Roman" w:hAnsi="Times New Roman" w:cs="Times New Roman"/>
          <w:bCs/>
          <w:sz w:val="24"/>
          <w:szCs w:val="24"/>
        </w:rPr>
        <w:t>Parenzo</w:t>
      </w:r>
      <w:proofErr w:type="spellEnd"/>
      <w:r w:rsidR="005D6F10" w:rsidRPr="00165A9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D8F51D" w14:textId="77777777" w:rsidR="0068199A" w:rsidRDefault="0068199A" w:rsidP="006B6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938F5" w14:textId="712DAFF1" w:rsidR="009B0F47" w:rsidRDefault="00FE2CA9" w:rsidP="00B34F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8199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0F47">
        <w:rPr>
          <w:rFonts w:ascii="Times New Roman" w:hAnsi="Times New Roman" w:cs="Times New Roman"/>
          <w:b/>
          <w:bCs/>
          <w:sz w:val="24"/>
          <w:szCs w:val="24"/>
        </w:rPr>
        <w:t>POREZ NA KORIŠTENJE JAVNIH POVRŠINA</w:t>
      </w:r>
    </w:p>
    <w:p w14:paraId="5D02F4B6" w14:textId="77777777" w:rsidR="0068199A" w:rsidRDefault="0068199A" w:rsidP="00B34F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838BA2" w14:textId="12FE7E7B" w:rsidR="0068199A" w:rsidRDefault="0068199A" w:rsidP="009D2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16365C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C14CB1" w14:textId="5572D2DE" w:rsidR="0068199A" w:rsidRDefault="0068199A" w:rsidP="00FE2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199A">
        <w:rPr>
          <w:rFonts w:ascii="Times New Roman" w:hAnsi="Times New Roman" w:cs="Times New Roman"/>
          <w:sz w:val="24"/>
          <w:szCs w:val="24"/>
        </w:rPr>
        <w:t>Nadležno tijelo Grada Poreča-</w:t>
      </w:r>
      <w:proofErr w:type="spellStart"/>
      <w:r w:rsidRPr="0068199A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Pr="0068199A">
        <w:rPr>
          <w:rFonts w:ascii="Times New Roman" w:hAnsi="Times New Roman" w:cs="Times New Roman"/>
          <w:sz w:val="24"/>
          <w:szCs w:val="24"/>
        </w:rPr>
        <w:t xml:space="preserve"> neće izdati odobrenje za korištenje javne površine korisniku ukoliko za javnu površinu postoji nepodmireni dospjeli dug iz prethodnog razdoblja, bez obzira na eventualnu promjenu korisnika.</w:t>
      </w:r>
    </w:p>
    <w:p w14:paraId="0A0C061B" w14:textId="77777777" w:rsidR="001250E1" w:rsidRDefault="001250E1" w:rsidP="006B6D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3857D3" w14:textId="4846ED08" w:rsidR="00413E45" w:rsidRPr="009D29EF" w:rsidRDefault="0068199A" w:rsidP="009D2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199A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16365C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68199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B143C8" w14:textId="7AB083DD" w:rsidR="0068199A" w:rsidRPr="0068199A" w:rsidRDefault="0068199A" w:rsidP="00FE2CA9">
      <w:pPr>
        <w:pStyle w:val="Tijeloteksta"/>
        <w:ind w:right="-2" w:firstLine="709"/>
        <w:jc w:val="both"/>
      </w:pPr>
      <w:r w:rsidRPr="0068199A">
        <w:t xml:space="preserve">Početna visina poreza na korištenje javne površine za raspisivanje natječaja za dodjelu javne površine </w:t>
      </w:r>
      <w:r w:rsidR="00B33E3C">
        <w:t>za po</w:t>
      </w:r>
      <w:r w:rsidRPr="0068199A">
        <w:t>stavljanje kioska i štandova određuje se prema zonama i djelatnostima.</w:t>
      </w:r>
    </w:p>
    <w:p w14:paraId="4D821830" w14:textId="77777777" w:rsidR="0068199A" w:rsidRPr="0068199A" w:rsidRDefault="0068199A" w:rsidP="005708B3">
      <w:pPr>
        <w:pStyle w:val="Tijeloteksta"/>
        <w:jc w:val="both"/>
      </w:pPr>
      <w:r w:rsidRPr="0068199A">
        <w:t>Određuju se zone i to:</w:t>
      </w:r>
    </w:p>
    <w:p w14:paraId="12E6BCB0" w14:textId="77777777" w:rsidR="0068199A" w:rsidRPr="0068199A" w:rsidRDefault="0068199A" w:rsidP="006B6D73">
      <w:pPr>
        <w:pStyle w:val="Tijeloteksta"/>
        <w:jc w:val="both"/>
      </w:pPr>
      <w:r w:rsidRPr="0068199A">
        <w:t>I ZONA – u Poreču:</w:t>
      </w:r>
    </w:p>
    <w:p w14:paraId="38E157D9" w14:textId="17CC600D" w:rsidR="0068199A" w:rsidRPr="0068199A" w:rsidRDefault="0068199A" w:rsidP="007F55C5">
      <w:pPr>
        <w:pStyle w:val="Odlomakpopisa"/>
        <w:widowControl w:val="0"/>
        <w:numPr>
          <w:ilvl w:val="0"/>
          <w:numId w:val="7"/>
        </w:numPr>
        <w:tabs>
          <w:tab w:val="left" w:pos="281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199A">
        <w:rPr>
          <w:rFonts w:ascii="Times New Roman" w:hAnsi="Times New Roman" w:cs="Times New Roman"/>
          <w:sz w:val="24"/>
          <w:szCs w:val="24"/>
        </w:rPr>
        <w:t xml:space="preserve">Gradska luka </w:t>
      </w:r>
      <w:r w:rsidR="00EF2F1C">
        <w:rPr>
          <w:rFonts w:ascii="Times New Roman" w:hAnsi="Times New Roman" w:cs="Times New Roman"/>
          <w:sz w:val="24"/>
          <w:szCs w:val="24"/>
        </w:rPr>
        <w:t>–</w:t>
      </w:r>
      <w:r w:rsidR="00D24B3A">
        <w:rPr>
          <w:rFonts w:ascii="Times New Roman" w:hAnsi="Times New Roman" w:cs="Times New Roman"/>
          <w:sz w:val="24"/>
          <w:szCs w:val="24"/>
        </w:rPr>
        <w:t xml:space="preserve"> </w:t>
      </w:r>
      <w:r w:rsidR="00EF410F" w:rsidRPr="00D24B3A">
        <w:rPr>
          <w:rFonts w:ascii="Times New Roman" w:hAnsi="Times New Roman" w:cs="Times New Roman"/>
          <w:sz w:val="24"/>
          <w:szCs w:val="24"/>
        </w:rPr>
        <w:t xml:space="preserve">od </w:t>
      </w:r>
      <w:bookmarkStart w:id="0" w:name="_Hlk148514989"/>
      <w:r w:rsidR="00EF410F" w:rsidRPr="00D24B3A">
        <w:rPr>
          <w:rFonts w:ascii="Times New Roman" w:hAnsi="Times New Roman" w:cs="Times New Roman"/>
          <w:sz w:val="24"/>
          <w:szCs w:val="24"/>
        </w:rPr>
        <w:t>Obale maršala Tita broj 24 do Turističke ulice broj 2</w:t>
      </w:r>
      <w:bookmarkEnd w:id="0"/>
      <w:r w:rsidRPr="00D24B3A">
        <w:rPr>
          <w:rFonts w:ascii="Times New Roman" w:hAnsi="Times New Roman" w:cs="Times New Roman"/>
          <w:sz w:val="24"/>
          <w:szCs w:val="24"/>
        </w:rPr>
        <w:t>,</w:t>
      </w:r>
    </w:p>
    <w:p w14:paraId="37F3E43E" w14:textId="147A0A8F" w:rsidR="0068199A" w:rsidRPr="00B5774B" w:rsidRDefault="0068199A" w:rsidP="006B6D73">
      <w:pPr>
        <w:pStyle w:val="Odlomakpopisa"/>
        <w:widowControl w:val="0"/>
        <w:numPr>
          <w:ilvl w:val="0"/>
          <w:numId w:val="7"/>
        </w:numPr>
        <w:tabs>
          <w:tab w:val="left" w:pos="28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74B">
        <w:rPr>
          <w:rFonts w:ascii="Times New Roman" w:hAnsi="Times New Roman" w:cs="Times New Roman"/>
          <w:sz w:val="24"/>
          <w:szCs w:val="24"/>
        </w:rPr>
        <w:t>Obala</w:t>
      </w:r>
      <w:r w:rsidRPr="00B57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A3495D" w:rsidRPr="00B5774B">
        <w:rPr>
          <w:rFonts w:ascii="Times New Roman" w:hAnsi="Times New Roman" w:cs="Times New Roman"/>
          <w:sz w:val="24"/>
          <w:szCs w:val="24"/>
        </w:rPr>
        <w:t>maršala</w:t>
      </w:r>
      <w:r w:rsidRPr="00B5774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5774B">
        <w:rPr>
          <w:rFonts w:ascii="Times New Roman" w:hAnsi="Times New Roman" w:cs="Times New Roman"/>
          <w:sz w:val="24"/>
          <w:szCs w:val="24"/>
        </w:rPr>
        <w:t>Tita,</w:t>
      </w:r>
    </w:p>
    <w:p w14:paraId="2287F225" w14:textId="77777777" w:rsidR="0068199A" w:rsidRPr="00B5774B" w:rsidRDefault="0068199A" w:rsidP="006B6D73">
      <w:pPr>
        <w:pStyle w:val="Odlomakpopisa"/>
        <w:widowControl w:val="0"/>
        <w:numPr>
          <w:ilvl w:val="0"/>
          <w:numId w:val="7"/>
        </w:numPr>
        <w:tabs>
          <w:tab w:val="left" w:pos="28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74B">
        <w:rPr>
          <w:rFonts w:ascii="Times New Roman" w:hAnsi="Times New Roman" w:cs="Times New Roman"/>
          <w:sz w:val="24"/>
          <w:szCs w:val="24"/>
        </w:rPr>
        <w:t>Trg</w:t>
      </w:r>
      <w:r w:rsidRPr="00B57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774B">
        <w:rPr>
          <w:rFonts w:ascii="Times New Roman" w:hAnsi="Times New Roman" w:cs="Times New Roman"/>
          <w:sz w:val="24"/>
          <w:szCs w:val="24"/>
        </w:rPr>
        <w:t>Matije</w:t>
      </w:r>
      <w:r w:rsidRPr="00B57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B5774B">
        <w:rPr>
          <w:rFonts w:ascii="Times New Roman" w:hAnsi="Times New Roman" w:cs="Times New Roman"/>
          <w:sz w:val="24"/>
          <w:szCs w:val="24"/>
        </w:rPr>
        <w:t>Gubca,</w:t>
      </w:r>
    </w:p>
    <w:p w14:paraId="54614431" w14:textId="5718DD92" w:rsidR="0068199A" w:rsidRPr="0068199A" w:rsidRDefault="00A3495D" w:rsidP="006B6D73">
      <w:pPr>
        <w:pStyle w:val="Odlomakpopisa"/>
        <w:widowControl w:val="0"/>
        <w:numPr>
          <w:ilvl w:val="0"/>
          <w:numId w:val="7"/>
        </w:numPr>
        <w:tabs>
          <w:tab w:val="left" w:pos="28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74B">
        <w:rPr>
          <w:rFonts w:ascii="Times New Roman" w:hAnsi="Times New Roman" w:cs="Times New Roman"/>
          <w:sz w:val="24"/>
          <w:szCs w:val="24"/>
        </w:rPr>
        <w:t xml:space="preserve">Ulica </w:t>
      </w:r>
      <w:proofErr w:type="spellStart"/>
      <w:r w:rsidRPr="00B5774B">
        <w:rPr>
          <w:rFonts w:ascii="Times New Roman" w:hAnsi="Times New Roman" w:cs="Times New Roman"/>
          <w:sz w:val="24"/>
          <w:szCs w:val="24"/>
        </w:rPr>
        <w:t>Decumanus</w:t>
      </w:r>
      <w:proofErr w:type="spellEnd"/>
      <w:r w:rsidR="00B5774B">
        <w:rPr>
          <w:rFonts w:ascii="Times New Roman" w:hAnsi="Times New Roman" w:cs="Times New Roman"/>
          <w:sz w:val="24"/>
          <w:szCs w:val="24"/>
        </w:rPr>
        <w:t>,</w:t>
      </w:r>
    </w:p>
    <w:p w14:paraId="508F5E9B" w14:textId="77777777" w:rsidR="0088082E" w:rsidRPr="0088082E" w:rsidRDefault="0068199A" w:rsidP="006B6D73">
      <w:pPr>
        <w:pStyle w:val="Odlomakpopisa"/>
        <w:widowControl w:val="0"/>
        <w:numPr>
          <w:ilvl w:val="0"/>
          <w:numId w:val="7"/>
        </w:numPr>
        <w:tabs>
          <w:tab w:val="left" w:pos="28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199A">
        <w:rPr>
          <w:rFonts w:ascii="Times New Roman" w:hAnsi="Times New Roman" w:cs="Times New Roman"/>
          <w:sz w:val="24"/>
          <w:szCs w:val="24"/>
        </w:rPr>
        <w:t>Ulica</w:t>
      </w:r>
      <w:r w:rsidRPr="00681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99A">
        <w:rPr>
          <w:rFonts w:ascii="Times New Roman" w:hAnsi="Times New Roman" w:cs="Times New Roman"/>
          <w:sz w:val="24"/>
          <w:szCs w:val="24"/>
        </w:rPr>
        <w:t>N</w:t>
      </w:r>
      <w:r w:rsidR="00A3495D">
        <w:rPr>
          <w:rFonts w:ascii="Times New Roman" w:hAnsi="Times New Roman" w:cs="Times New Roman"/>
          <w:sz w:val="24"/>
          <w:szCs w:val="24"/>
        </w:rPr>
        <w:t>ikole</w:t>
      </w:r>
      <w:r w:rsidRPr="00681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99A">
        <w:rPr>
          <w:rFonts w:ascii="Times New Roman" w:hAnsi="Times New Roman" w:cs="Times New Roman"/>
          <w:sz w:val="24"/>
          <w:szCs w:val="24"/>
        </w:rPr>
        <w:t>Tesle</w:t>
      </w:r>
      <w:r w:rsidRPr="00681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99A">
        <w:rPr>
          <w:rFonts w:ascii="Times New Roman" w:hAnsi="Times New Roman" w:cs="Times New Roman"/>
          <w:sz w:val="24"/>
          <w:szCs w:val="24"/>
        </w:rPr>
        <w:t>do</w:t>
      </w:r>
      <w:r w:rsidRPr="00681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99A">
        <w:rPr>
          <w:rFonts w:ascii="Times New Roman" w:hAnsi="Times New Roman" w:cs="Times New Roman"/>
          <w:sz w:val="24"/>
          <w:szCs w:val="24"/>
        </w:rPr>
        <w:t>raskrižja</w:t>
      </w:r>
      <w:r w:rsidRPr="00681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99A">
        <w:rPr>
          <w:rFonts w:ascii="Times New Roman" w:hAnsi="Times New Roman" w:cs="Times New Roman"/>
          <w:sz w:val="24"/>
          <w:szCs w:val="24"/>
        </w:rPr>
        <w:t>s</w:t>
      </w:r>
      <w:r w:rsidRPr="00681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99A">
        <w:rPr>
          <w:rFonts w:ascii="Times New Roman" w:hAnsi="Times New Roman" w:cs="Times New Roman"/>
          <w:sz w:val="24"/>
          <w:szCs w:val="24"/>
        </w:rPr>
        <w:t>Ulicom</w:t>
      </w:r>
      <w:r w:rsidRPr="00681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99A">
        <w:rPr>
          <w:rFonts w:ascii="Times New Roman" w:hAnsi="Times New Roman" w:cs="Times New Roman"/>
          <w:sz w:val="24"/>
          <w:szCs w:val="24"/>
        </w:rPr>
        <w:t>P</w:t>
      </w:r>
      <w:r w:rsidR="00A3495D">
        <w:rPr>
          <w:rFonts w:ascii="Times New Roman" w:hAnsi="Times New Roman" w:cs="Times New Roman"/>
          <w:sz w:val="24"/>
          <w:szCs w:val="24"/>
        </w:rPr>
        <w:t>in</w:t>
      </w:r>
      <w:r w:rsidR="0088082E">
        <w:rPr>
          <w:rFonts w:ascii="Times New Roman" w:hAnsi="Times New Roman" w:cs="Times New Roman"/>
          <w:sz w:val="24"/>
          <w:szCs w:val="24"/>
        </w:rPr>
        <w:t>a</w:t>
      </w:r>
      <w:r w:rsidRPr="00681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68199A">
        <w:rPr>
          <w:rFonts w:ascii="Times New Roman" w:hAnsi="Times New Roman" w:cs="Times New Roman"/>
          <w:sz w:val="24"/>
          <w:szCs w:val="24"/>
        </w:rPr>
        <w:t>Budi</w:t>
      </w:r>
      <w:r w:rsidR="0088082E">
        <w:rPr>
          <w:rFonts w:ascii="Times New Roman" w:hAnsi="Times New Roman" w:cs="Times New Roman"/>
          <w:sz w:val="24"/>
          <w:szCs w:val="24"/>
        </w:rPr>
        <w:t>čina</w:t>
      </w:r>
      <w:proofErr w:type="spellEnd"/>
      <w:r w:rsidRPr="0068199A">
        <w:rPr>
          <w:rFonts w:ascii="Times New Roman" w:hAnsi="Times New Roman" w:cs="Times New Roman"/>
          <w:sz w:val="24"/>
          <w:szCs w:val="24"/>
        </w:rPr>
        <w:t>,</w:t>
      </w:r>
      <w:r w:rsidRPr="00681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</w:p>
    <w:p w14:paraId="3281E1F8" w14:textId="0852BABC" w:rsidR="0068199A" w:rsidRPr="00B5774B" w:rsidRDefault="0088082E" w:rsidP="006B6D73">
      <w:pPr>
        <w:pStyle w:val="Odlomakpopisa"/>
        <w:widowControl w:val="0"/>
        <w:numPr>
          <w:ilvl w:val="0"/>
          <w:numId w:val="7"/>
        </w:numPr>
        <w:tabs>
          <w:tab w:val="left" w:pos="28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74B">
        <w:rPr>
          <w:rFonts w:ascii="Times New Roman" w:hAnsi="Times New Roman" w:cs="Times New Roman"/>
          <w:spacing w:val="-3"/>
          <w:sz w:val="24"/>
          <w:szCs w:val="24"/>
        </w:rPr>
        <w:t xml:space="preserve">Ulica </w:t>
      </w:r>
      <w:r w:rsidR="0068199A" w:rsidRPr="00B5774B">
        <w:rPr>
          <w:rFonts w:ascii="Times New Roman" w:hAnsi="Times New Roman" w:cs="Times New Roman"/>
          <w:sz w:val="24"/>
          <w:szCs w:val="24"/>
        </w:rPr>
        <w:t>B</w:t>
      </w:r>
      <w:r w:rsidR="00A3495D" w:rsidRPr="00B5774B">
        <w:rPr>
          <w:rFonts w:ascii="Times New Roman" w:hAnsi="Times New Roman" w:cs="Times New Roman"/>
          <w:sz w:val="24"/>
          <w:szCs w:val="24"/>
        </w:rPr>
        <w:t>ože</w:t>
      </w:r>
      <w:r w:rsidR="0068199A" w:rsidRPr="00B5774B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8199A" w:rsidRPr="00B5774B">
        <w:rPr>
          <w:rFonts w:ascii="Times New Roman" w:hAnsi="Times New Roman" w:cs="Times New Roman"/>
          <w:sz w:val="24"/>
          <w:szCs w:val="24"/>
        </w:rPr>
        <w:t>Milanovića,</w:t>
      </w:r>
    </w:p>
    <w:p w14:paraId="3BC6BC96" w14:textId="77777777" w:rsidR="0068199A" w:rsidRPr="00B5774B" w:rsidRDefault="0068199A" w:rsidP="006B6D73">
      <w:pPr>
        <w:pStyle w:val="Odlomakpopisa"/>
        <w:widowControl w:val="0"/>
        <w:numPr>
          <w:ilvl w:val="0"/>
          <w:numId w:val="7"/>
        </w:numPr>
        <w:tabs>
          <w:tab w:val="left" w:pos="28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74B">
        <w:rPr>
          <w:rFonts w:ascii="Times New Roman" w:hAnsi="Times New Roman" w:cs="Times New Roman"/>
          <w:sz w:val="24"/>
          <w:szCs w:val="24"/>
        </w:rPr>
        <w:t>Narodni</w:t>
      </w:r>
      <w:r w:rsidRPr="00B57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774B">
        <w:rPr>
          <w:rFonts w:ascii="Times New Roman" w:hAnsi="Times New Roman" w:cs="Times New Roman"/>
          <w:sz w:val="24"/>
          <w:szCs w:val="24"/>
        </w:rPr>
        <w:t>trg,</w:t>
      </w:r>
    </w:p>
    <w:p w14:paraId="523DA9FF" w14:textId="77777777" w:rsidR="0068199A" w:rsidRPr="00B5774B" w:rsidRDefault="0068199A" w:rsidP="006B6D73">
      <w:pPr>
        <w:pStyle w:val="Odlomakpopisa"/>
        <w:widowControl w:val="0"/>
        <w:numPr>
          <w:ilvl w:val="0"/>
          <w:numId w:val="7"/>
        </w:numPr>
        <w:tabs>
          <w:tab w:val="left" w:pos="28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74B">
        <w:rPr>
          <w:rFonts w:ascii="Times New Roman" w:hAnsi="Times New Roman" w:cs="Times New Roman"/>
          <w:sz w:val="24"/>
          <w:szCs w:val="24"/>
        </w:rPr>
        <w:t>Ribarski</w:t>
      </w:r>
      <w:r w:rsidRPr="00B5774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5774B">
        <w:rPr>
          <w:rFonts w:ascii="Times New Roman" w:hAnsi="Times New Roman" w:cs="Times New Roman"/>
          <w:sz w:val="24"/>
          <w:szCs w:val="24"/>
        </w:rPr>
        <w:t>trg,</w:t>
      </w:r>
    </w:p>
    <w:p w14:paraId="22AF7DDF" w14:textId="2B391E98" w:rsidR="0068199A" w:rsidRPr="00B5774B" w:rsidRDefault="0088082E" w:rsidP="006B6D73">
      <w:pPr>
        <w:pStyle w:val="Odlomakpopisa"/>
        <w:widowControl w:val="0"/>
        <w:numPr>
          <w:ilvl w:val="0"/>
          <w:numId w:val="7"/>
        </w:numPr>
        <w:tabs>
          <w:tab w:val="left" w:pos="28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74B">
        <w:rPr>
          <w:rFonts w:ascii="Times New Roman" w:hAnsi="Times New Roman" w:cs="Times New Roman"/>
          <w:sz w:val="24"/>
          <w:szCs w:val="24"/>
        </w:rPr>
        <w:t xml:space="preserve">Ulica Pietra </w:t>
      </w:r>
      <w:proofErr w:type="spellStart"/>
      <w:r w:rsidRPr="00B5774B">
        <w:rPr>
          <w:rFonts w:ascii="Times New Roman" w:hAnsi="Times New Roman" w:cs="Times New Roman"/>
          <w:sz w:val="24"/>
          <w:szCs w:val="24"/>
        </w:rPr>
        <w:t>Kandlera</w:t>
      </w:r>
      <w:proofErr w:type="spellEnd"/>
      <w:r w:rsidR="0068199A" w:rsidRPr="00B5774B">
        <w:rPr>
          <w:rFonts w:ascii="Times New Roman" w:hAnsi="Times New Roman" w:cs="Times New Roman"/>
          <w:sz w:val="24"/>
          <w:szCs w:val="24"/>
        </w:rPr>
        <w:t>,</w:t>
      </w:r>
    </w:p>
    <w:p w14:paraId="417C8C82" w14:textId="72ED8966" w:rsidR="0068199A" w:rsidRPr="00B5774B" w:rsidRDefault="0068199A" w:rsidP="006B6D73">
      <w:pPr>
        <w:pStyle w:val="Odlomakpopisa"/>
        <w:widowControl w:val="0"/>
        <w:numPr>
          <w:ilvl w:val="0"/>
          <w:numId w:val="7"/>
        </w:numPr>
        <w:tabs>
          <w:tab w:val="left" w:pos="28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74B">
        <w:rPr>
          <w:rFonts w:ascii="Times New Roman" w:hAnsi="Times New Roman" w:cs="Times New Roman"/>
          <w:sz w:val="24"/>
          <w:szCs w:val="24"/>
        </w:rPr>
        <w:t>Ulica Vl</w:t>
      </w:r>
      <w:r w:rsidR="0088082E" w:rsidRPr="00B5774B">
        <w:rPr>
          <w:rFonts w:ascii="Times New Roman" w:hAnsi="Times New Roman" w:cs="Times New Roman"/>
          <w:sz w:val="24"/>
          <w:szCs w:val="24"/>
        </w:rPr>
        <w:t>adimira</w:t>
      </w:r>
      <w:r w:rsidRPr="00B5774B">
        <w:rPr>
          <w:rFonts w:ascii="Times New Roman" w:hAnsi="Times New Roman" w:cs="Times New Roman"/>
          <w:sz w:val="24"/>
          <w:szCs w:val="24"/>
        </w:rPr>
        <w:t xml:space="preserve"> Nazora,</w:t>
      </w:r>
    </w:p>
    <w:p w14:paraId="62272F6A" w14:textId="6FFD92C8" w:rsidR="0068199A" w:rsidRPr="00B5774B" w:rsidRDefault="0068199A" w:rsidP="006B6D73">
      <w:pPr>
        <w:pStyle w:val="Odlomakpopisa"/>
        <w:widowControl w:val="0"/>
        <w:numPr>
          <w:ilvl w:val="0"/>
          <w:numId w:val="7"/>
        </w:numPr>
        <w:tabs>
          <w:tab w:val="left" w:pos="28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74B">
        <w:rPr>
          <w:rFonts w:ascii="Times New Roman" w:hAnsi="Times New Roman" w:cs="Times New Roman"/>
          <w:sz w:val="24"/>
          <w:szCs w:val="24"/>
        </w:rPr>
        <w:t>Ulica A</w:t>
      </w:r>
      <w:r w:rsidR="0088082E" w:rsidRPr="00B5774B">
        <w:rPr>
          <w:rFonts w:ascii="Times New Roman" w:hAnsi="Times New Roman" w:cs="Times New Roman"/>
          <w:sz w:val="24"/>
          <w:szCs w:val="24"/>
        </w:rPr>
        <w:t>ldo</w:t>
      </w:r>
      <w:r w:rsidRPr="00B577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774B">
        <w:rPr>
          <w:rFonts w:ascii="Times New Roman" w:hAnsi="Times New Roman" w:cs="Times New Roman"/>
          <w:sz w:val="24"/>
          <w:szCs w:val="24"/>
        </w:rPr>
        <w:t>Negri</w:t>
      </w:r>
      <w:proofErr w:type="spellEnd"/>
      <w:r w:rsidRPr="00B5774B">
        <w:rPr>
          <w:rFonts w:ascii="Times New Roman" w:hAnsi="Times New Roman" w:cs="Times New Roman"/>
          <w:sz w:val="24"/>
          <w:szCs w:val="24"/>
        </w:rPr>
        <w:t>,</w:t>
      </w:r>
    </w:p>
    <w:p w14:paraId="1452EDB2" w14:textId="77777777" w:rsidR="0068199A" w:rsidRPr="00B5774B" w:rsidRDefault="0068199A" w:rsidP="006B6D73">
      <w:pPr>
        <w:pStyle w:val="Odlomakpopisa"/>
        <w:widowControl w:val="0"/>
        <w:numPr>
          <w:ilvl w:val="0"/>
          <w:numId w:val="7"/>
        </w:numPr>
        <w:tabs>
          <w:tab w:val="left" w:pos="28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74B">
        <w:rPr>
          <w:rFonts w:ascii="Times New Roman" w:hAnsi="Times New Roman" w:cs="Times New Roman"/>
          <w:sz w:val="24"/>
          <w:szCs w:val="24"/>
        </w:rPr>
        <w:t>Zagrebačka ulica,</w:t>
      </w:r>
    </w:p>
    <w:p w14:paraId="2C06503F" w14:textId="46141456" w:rsidR="0088082E" w:rsidRPr="00B5774B" w:rsidRDefault="0068199A" w:rsidP="00B5774B">
      <w:pPr>
        <w:pStyle w:val="Odlomakpopisa"/>
        <w:widowControl w:val="0"/>
        <w:numPr>
          <w:ilvl w:val="0"/>
          <w:numId w:val="7"/>
        </w:numPr>
        <w:tabs>
          <w:tab w:val="left" w:pos="28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74B">
        <w:rPr>
          <w:rFonts w:ascii="Times New Roman" w:hAnsi="Times New Roman" w:cs="Times New Roman"/>
          <w:sz w:val="24"/>
          <w:szCs w:val="24"/>
        </w:rPr>
        <w:t>Trg</w:t>
      </w:r>
      <w:r w:rsidRPr="00B5774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B5774B">
        <w:rPr>
          <w:rFonts w:ascii="Times New Roman" w:hAnsi="Times New Roman" w:cs="Times New Roman"/>
          <w:sz w:val="24"/>
          <w:szCs w:val="24"/>
        </w:rPr>
        <w:t>Marafor</w:t>
      </w:r>
      <w:proofErr w:type="spellEnd"/>
      <w:r w:rsidRPr="00B5774B">
        <w:rPr>
          <w:rFonts w:ascii="Times New Roman" w:hAnsi="Times New Roman" w:cs="Times New Roman"/>
          <w:sz w:val="24"/>
          <w:szCs w:val="24"/>
        </w:rPr>
        <w:t>,</w:t>
      </w:r>
    </w:p>
    <w:p w14:paraId="53BA9478" w14:textId="77777777" w:rsidR="0068199A" w:rsidRPr="0068199A" w:rsidRDefault="0068199A" w:rsidP="006B6D73">
      <w:pPr>
        <w:pStyle w:val="Odlomakpopisa"/>
        <w:widowControl w:val="0"/>
        <w:numPr>
          <w:ilvl w:val="0"/>
          <w:numId w:val="7"/>
        </w:numPr>
        <w:tabs>
          <w:tab w:val="left" w:pos="28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199A">
        <w:rPr>
          <w:rFonts w:ascii="Times New Roman" w:hAnsi="Times New Roman" w:cs="Times New Roman"/>
          <w:sz w:val="24"/>
          <w:szCs w:val="24"/>
        </w:rPr>
        <w:t>Kompleks autobusnog kolodvora te</w:t>
      </w:r>
    </w:p>
    <w:p w14:paraId="37DEB276" w14:textId="333B29D5" w:rsidR="0068199A" w:rsidRPr="0068199A" w:rsidRDefault="0068199A" w:rsidP="006B6D73">
      <w:pPr>
        <w:pStyle w:val="Odlomakpopisa"/>
        <w:widowControl w:val="0"/>
        <w:numPr>
          <w:ilvl w:val="0"/>
          <w:numId w:val="7"/>
        </w:numPr>
        <w:tabs>
          <w:tab w:val="left" w:pos="281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8199A">
        <w:rPr>
          <w:rFonts w:ascii="Times New Roman" w:hAnsi="Times New Roman" w:cs="Times New Roman"/>
          <w:sz w:val="24"/>
          <w:szCs w:val="24"/>
        </w:rPr>
        <w:t>Ulica Rade Končara s pojasom do morske obale.</w:t>
      </w:r>
    </w:p>
    <w:p w14:paraId="1E37CD8B" w14:textId="77777777" w:rsidR="00B33E3C" w:rsidRDefault="0068199A" w:rsidP="006B6D73">
      <w:pPr>
        <w:spacing w:after="0" w:line="240" w:lineRule="auto"/>
        <w:jc w:val="both"/>
        <w:rPr>
          <w:rFonts w:ascii="Times New Roman" w:hAnsi="Times New Roman" w:cs="Times New Roman"/>
          <w:spacing w:val="-57"/>
          <w:sz w:val="24"/>
          <w:szCs w:val="24"/>
        </w:rPr>
      </w:pPr>
      <w:r w:rsidRPr="0068199A">
        <w:rPr>
          <w:rFonts w:ascii="Times New Roman" w:hAnsi="Times New Roman" w:cs="Times New Roman"/>
          <w:sz w:val="24"/>
          <w:szCs w:val="24"/>
        </w:rPr>
        <w:t>II</w:t>
      </w:r>
      <w:r w:rsidRPr="00681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99A">
        <w:rPr>
          <w:rFonts w:ascii="Times New Roman" w:hAnsi="Times New Roman" w:cs="Times New Roman"/>
          <w:sz w:val="24"/>
          <w:szCs w:val="24"/>
        </w:rPr>
        <w:t>ZONA</w:t>
      </w:r>
      <w:r w:rsidRPr="00681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99A">
        <w:rPr>
          <w:rFonts w:ascii="Times New Roman" w:hAnsi="Times New Roman" w:cs="Times New Roman"/>
          <w:sz w:val="24"/>
          <w:szCs w:val="24"/>
        </w:rPr>
        <w:t>–</w:t>
      </w:r>
      <w:r w:rsidRPr="00681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99A">
        <w:rPr>
          <w:rFonts w:ascii="Times New Roman" w:hAnsi="Times New Roman" w:cs="Times New Roman"/>
          <w:sz w:val="24"/>
          <w:szCs w:val="24"/>
        </w:rPr>
        <w:t>preostali</w:t>
      </w:r>
      <w:r w:rsidRPr="00681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99A">
        <w:rPr>
          <w:rFonts w:ascii="Times New Roman" w:hAnsi="Times New Roman" w:cs="Times New Roman"/>
          <w:sz w:val="24"/>
          <w:szCs w:val="24"/>
        </w:rPr>
        <w:t>dio</w:t>
      </w:r>
      <w:r w:rsidRPr="00681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99A">
        <w:rPr>
          <w:rFonts w:ascii="Times New Roman" w:hAnsi="Times New Roman" w:cs="Times New Roman"/>
          <w:sz w:val="24"/>
          <w:szCs w:val="24"/>
        </w:rPr>
        <w:t>naselja</w:t>
      </w:r>
      <w:r w:rsidRPr="00681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99A">
        <w:rPr>
          <w:rFonts w:ascii="Times New Roman" w:hAnsi="Times New Roman" w:cs="Times New Roman"/>
          <w:sz w:val="24"/>
          <w:szCs w:val="24"/>
        </w:rPr>
        <w:t>Poreč</w:t>
      </w:r>
      <w:r w:rsidRPr="00681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99A">
        <w:rPr>
          <w:rFonts w:ascii="Times New Roman" w:hAnsi="Times New Roman" w:cs="Times New Roman"/>
          <w:sz w:val="24"/>
          <w:szCs w:val="24"/>
        </w:rPr>
        <w:t>do</w:t>
      </w:r>
      <w:r w:rsidRPr="00681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99A">
        <w:rPr>
          <w:rFonts w:ascii="Times New Roman" w:hAnsi="Times New Roman" w:cs="Times New Roman"/>
          <w:sz w:val="24"/>
          <w:szCs w:val="24"/>
        </w:rPr>
        <w:t>ceste</w:t>
      </w:r>
      <w:r w:rsidRPr="00681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99A">
        <w:rPr>
          <w:rFonts w:ascii="Times New Roman" w:hAnsi="Times New Roman" w:cs="Times New Roman"/>
          <w:sz w:val="24"/>
          <w:szCs w:val="24"/>
        </w:rPr>
        <w:t>Novigrad</w:t>
      </w:r>
      <w:r w:rsidRPr="006819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8199A">
        <w:rPr>
          <w:rFonts w:ascii="Times New Roman" w:hAnsi="Times New Roman" w:cs="Times New Roman"/>
          <w:sz w:val="24"/>
          <w:szCs w:val="24"/>
        </w:rPr>
        <w:t>-</w:t>
      </w:r>
      <w:r w:rsidRPr="006819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8199A">
        <w:rPr>
          <w:rFonts w:ascii="Times New Roman" w:hAnsi="Times New Roman" w:cs="Times New Roman"/>
          <w:sz w:val="24"/>
          <w:szCs w:val="24"/>
        </w:rPr>
        <w:t>Vrsar.</w:t>
      </w:r>
      <w:r w:rsidRPr="0068199A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</w:p>
    <w:p w14:paraId="216C845B" w14:textId="7FC0B049" w:rsidR="0068199A" w:rsidRPr="0068199A" w:rsidRDefault="0068199A" w:rsidP="006B6D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199A">
        <w:rPr>
          <w:rFonts w:ascii="Times New Roman" w:hAnsi="Times New Roman" w:cs="Times New Roman"/>
          <w:sz w:val="24"/>
          <w:szCs w:val="24"/>
        </w:rPr>
        <w:t>III ZONA – preostali dio područja Grada Poreča-</w:t>
      </w:r>
      <w:proofErr w:type="spellStart"/>
      <w:r w:rsidRPr="0068199A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Pr="0068199A">
        <w:rPr>
          <w:rFonts w:ascii="Times New Roman" w:hAnsi="Times New Roman" w:cs="Times New Roman"/>
          <w:sz w:val="24"/>
          <w:szCs w:val="24"/>
        </w:rPr>
        <w:t>.</w:t>
      </w:r>
    </w:p>
    <w:p w14:paraId="0202DE86" w14:textId="77777777" w:rsidR="00165A99" w:rsidRDefault="00165A99" w:rsidP="009D29E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24DB8" w14:textId="64001629" w:rsidR="00413E45" w:rsidRPr="009D29EF" w:rsidRDefault="00293424" w:rsidP="009D2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16365C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A45C66" w14:textId="7E28ECCA" w:rsidR="00293424" w:rsidRPr="00554463" w:rsidRDefault="00293424" w:rsidP="006B6D73">
      <w:pPr>
        <w:pStyle w:val="Tijeloteksta"/>
        <w:jc w:val="both"/>
        <w:rPr>
          <w:b/>
          <w:bCs/>
        </w:rPr>
      </w:pPr>
      <w:r w:rsidRPr="00554463">
        <w:rPr>
          <w:b/>
          <w:bCs/>
        </w:rPr>
        <w:t xml:space="preserve">Korištenje javnih površina - s postavljenim štandom model </w:t>
      </w:r>
      <w:r w:rsidR="000F5EB2">
        <w:rPr>
          <w:b/>
          <w:bCs/>
        </w:rPr>
        <w:t>„</w:t>
      </w:r>
      <w:r w:rsidRPr="00554463">
        <w:rPr>
          <w:b/>
          <w:bCs/>
        </w:rPr>
        <w:t>Poreč</w:t>
      </w:r>
      <w:r w:rsidR="000F5EB2">
        <w:rPr>
          <w:b/>
          <w:bCs/>
        </w:rPr>
        <w:t>“</w:t>
      </w:r>
      <w:r w:rsidRPr="00554463">
        <w:rPr>
          <w:b/>
          <w:bCs/>
        </w:rPr>
        <w:t xml:space="preserve"> tip 2900 i klupa </w:t>
      </w:r>
      <w:r w:rsidR="000F5EB2">
        <w:rPr>
          <w:b/>
          <w:bCs/>
        </w:rPr>
        <w:t>„</w:t>
      </w:r>
      <w:r w:rsidRPr="00554463">
        <w:rPr>
          <w:b/>
          <w:bCs/>
        </w:rPr>
        <w:t>K-1</w:t>
      </w:r>
      <w:r w:rsidR="000F5EB2">
        <w:rPr>
          <w:b/>
          <w:bCs/>
        </w:rPr>
        <w:t>“</w:t>
      </w:r>
    </w:p>
    <w:p w14:paraId="739D5ED9" w14:textId="77777777" w:rsidR="00413E45" w:rsidRDefault="00413E45" w:rsidP="006B6D73">
      <w:pPr>
        <w:pStyle w:val="Tijeloteksta"/>
        <w:ind w:right="-2"/>
        <w:jc w:val="both"/>
      </w:pPr>
    </w:p>
    <w:p w14:paraId="4C7BC8A6" w14:textId="411B2995" w:rsidR="00293424" w:rsidRDefault="00293424" w:rsidP="009D29EF">
      <w:pPr>
        <w:pStyle w:val="Tijeloteksta"/>
        <w:ind w:right="-2" w:firstLine="709"/>
        <w:jc w:val="both"/>
      </w:pPr>
      <w:r>
        <w:t>Početna visina poreza za korištenje javne površine s postavljenim privremenim netipiziranim objektom</w:t>
      </w:r>
      <w:r>
        <w:rPr>
          <w:spacing w:val="1"/>
        </w:rPr>
        <w:t xml:space="preserve"> </w:t>
      </w:r>
      <w:r>
        <w:t xml:space="preserve">(štand, klupa i slično), u razdoblju od 01. lipnja do 30. rujna u godini, utvrđuje se prema djelatnostima, kako </w:t>
      </w:r>
      <w:r>
        <w:rPr>
          <w:spacing w:val="-57"/>
        </w:rPr>
        <w:t xml:space="preserve"> </w:t>
      </w:r>
      <w:r>
        <w:t>slijedi:</w:t>
      </w:r>
    </w:p>
    <w:p w14:paraId="4A17063B" w14:textId="77777777" w:rsidR="009D29EF" w:rsidRPr="009D29EF" w:rsidRDefault="009D29EF" w:rsidP="009D29EF">
      <w:pPr>
        <w:pStyle w:val="Tijeloteksta"/>
        <w:ind w:right="-2" w:firstLine="709"/>
        <w:jc w:val="both"/>
      </w:pPr>
    </w:p>
    <w:tbl>
      <w:tblPr>
        <w:tblStyle w:val="TableNormal"/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534"/>
        <w:gridCol w:w="3538"/>
      </w:tblGrid>
      <w:tr w:rsidR="00293424" w14:paraId="06434EA0" w14:textId="77777777" w:rsidTr="00FE2CA9">
        <w:trPr>
          <w:trHeight w:val="283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716E" w14:textId="31464776" w:rsidR="00293424" w:rsidRPr="007C6B67" w:rsidRDefault="0012581A" w:rsidP="00FE2CA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Djelatnost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5CBB" w14:textId="28034438" w:rsidR="00293424" w:rsidRPr="007C6B67" w:rsidRDefault="0012581A" w:rsidP="00FE2CA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Iznos poreza u eurima</w:t>
            </w:r>
          </w:p>
        </w:tc>
      </w:tr>
      <w:tr w:rsidR="00293424" w14:paraId="3861CD5E" w14:textId="77777777" w:rsidTr="00FE2CA9">
        <w:trPr>
          <w:trHeight w:val="55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F7B0" w14:textId="77777777" w:rsidR="00293424" w:rsidRPr="00FE2CA9" w:rsidRDefault="00293424" w:rsidP="006B6D73">
            <w:pPr>
              <w:pStyle w:val="TableParagraph"/>
              <w:spacing w:line="240" w:lineRule="auto"/>
              <w:ind w:left="0" w:right="325"/>
              <w:jc w:val="both"/>
              <w:rPr>
                <w:sz w:val="24"/>
              </w:rPr>
            </w:pPr>
            <w:r w:rsidRPr="00FE2CA9">
              <w:rPr>
                <w:sz w:val="24"/>
              </w:rPr>
              <w:t>antikviteti, autohtona pića, eko proizvodi, slike,</w:t>
            </w:r>
            <w:r w:rsidRPr="00FE2CA9">
              <w:rPr>
                <w:spacing w:val="-57"/>
                <w:sz w:val="24"/>
              </w:rPr>
              <w:t xml:space="preserve"> </w:t>
            </w:r>
            <w:r w:rsidRPr="00FE2CA9">
              <w:rPr>
                <w:sz w:val="24"/>
              </w:rPr>
              <w:t>keramika, staklo, porculan, bižuterija, kristal,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4E2C" w14:textId="77777777" w:rsidR="00293424" w:rsidRPr="00F52039" w:rsidRDefault="00293424" w:rsidP="00FE2CA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F52039">
              <w:rPr>
                <w:sz w:val="24"/>
              </w:rPr>
              <w:t>1.061,78</w:t>
            </w:r>
          </w:p>
        </w:tc>
      </w:tr>
      <w:tr w:rsidR="00B33E3C" w:rsidRPr="00B33E3C" w14:paraId="5F2B29B9" w14:textId="77777777" w:rsidTr="00B576E3">
        <w:trPr>
          <w:trHeight w:val="285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71C2" w14:textId="77777777" w:rsidR="00B33E3C" w:rsidRPr="00FE2CA9" w:rsidRDefault="00B33E3C" w:rsidP="006B6D73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 w:rsidRPr="00FE2CA9">
              <w:rPr>
                <w:sz w:val="24"/>
              </w:rPr>
              <w:t>proizvodi od tekstila, kože i slično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D473" w14:textId="4A44C8A4" w:rsidR="00B33E3C" w:rsidRPr="00F52039" w:rsidRDefault="00FE2CA9" w:rsidP="00FE2CA9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F52039">
              <w:rPr>
                <w:sz w:val="24"/>
              </w:rPr>
              <w:t>663,61</w:t>
            </w:r>
          </w:p>
        </w:tc>
      </w:tr>
      <w:tr w:rsidR="00B33E3C" w14:paraId="28598748" w14:textId="77777777" w:rsidTr="00B576E3">
        <w:trPr>
          <w:trHeight w:val="300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9845" w14:textId="77777777" w:rsidR="00B33E3C" w:rsidRPr="00FE2CA9" w:rsidRDefault="00B33E3C" w:rsidP="006B6D73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 w:rsidRPr="00FE2CA9">
              <w:rPr>
                <w:sz w:val="24"/>
              </w:rPr>
              <w:t>razglednice, brošure, karte, knjige i slično</w:t>
            </w:r>
          </w:p>
        </w:tc>
        <w:tc>
          <w:tcPr>
            <w:tcW w:w="3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A3E6C" w14:textId="689917BC" w:rsidR="00B33E3C" w:rsidRPr="00F52039" w:rsidRDefault="00B33E3C" w:rsidP="00FE2CA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</w:tr>
      <w:tr w:rsidR="00293424" w14:paraId="115C49E3" w14:textId="77777777" w:rsidTr="00FE2CA9">
        <w:trPr>
          <w:trHeight w:val="283"/>
        </w:trPr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AB07" w14:textId="77777777" w:rsidR="00293424" w:rsidRDefault="00293424" w:rsidP="006B6D73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izrada portreta, karikatura, silueta i slično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E529" w14:textId="77777777" w:rsidR="00293424" w:rsidRPr="00F52039" w:rsidRDefault="00293424" w:rsidP="00FE2CA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 w:rsidRPr="00F52039">
              <w:rPr>
                <w:sz w:val="24"/>
              </w:rPr>
              <w:t>530,89</w:t>
            </w:r>
          </w:p>
        </w:tc>
      </w:tr>
    </w:tbl>
    <w:p w14:paraId="25B62F54" w14:textId="0FD8D3D7" w:rsidR="00293424" w:rsidRDefault="00293424" w:rsidP="006B6D73">
      <w:pPr>
        <w:pStyle w:val="Tijeloteksta"/>
        <w:jc w:val="both"/>
        <w:rPr>
          <w:sz w:val="26"/>
        </w:rPr>
      </w:pPr>
    </w:p>
    <w:p w14:paraId="6F704EE4" w14:textId="1C6E5245" w:rsidR="00426C0A" w:rsidRDefault="00293424" w:rsidP="00F52039">
      <w:pPr>
        <w:pStyle w:val="Tijeloteksta"/>
        <w:ind w:right="-2" w:firstLine="709"/>
        <w:jc w:val="both"/>
      </w:pPr>
      <w:r>
        <w:t xml:space="preserve">Početna visina poreza za korištenje javne površine s postavljenim štandom, model </w:t>
      </w:r>
      <w:r w:rsidR="000F5EB2">
        <w:t>„</w:t>
      </w:r>
      <w:r w:rsidR="00AB5E3D" w:rsidRPr="00AB5E3D">
        <w:t>Poreč</w:t>
      </w:r>
      <w:r w:rsidR="000F5EB2">
        <w:t>“</w:t>
      </w:r>
      <w:r>
        <w:t xml:space="preserve"> tip 2900, </w:t>
      </w:r>
      <w:r w:rsidR="00B33E3C">
        <w:t>u r</w:t>
      </w:r>
      <w:r>
        <w:t>azdoblju od 7. dana prije Uskrsa do 31. listopada u godini, utvrđuje se u iznosu od 3.981,68 eura.</w:t>
      </w:r>
    </w:p>
    <w:p w14:paraId="4FFEA21B" w14:textId="22884C21" w:rsidR="008D1CCD" w:rsidRDefault="00293424" w:rsidP="00FE2CA9">
      <w:pPr>
        <w:pStyle w:val="Tijeloteksta"/>
        <w:ind w:right="-2" w:firstLine="709"/>
        <w:jc w:val="both"/>
      </w:pPr>
      <w:r>
        <w:t xml:space="preserve">Početna visina poreza za korištenje javne površine s postavljenom klupom </w:t>
      </w:r>
      <w:r w:rsidR="000F5EB2">
        <w:t>„</w:t>
      </w:r>
      <w:r>
        <w:t>K-1</w:t>
      </w:r>
      <w:r w:rsidR="000F5EB2">
        <w:t>“</w:t>
      </w:r>
      <w:r>
        <w:t xml:space="preserve">, u razdoblju od 01. </w:t>
      </w:r>
      <w:r w:rsidR="00AB5E3D">
        <w:t xml:space="preserve">lipnja do </w:t>
      </w:r>
      <w:r>
        <w:t>30. rujna u godini, utvrđuje se u iznosu od 1.327,23 eura.</w:t>
      </w:r>
    </w:p>
    <w:p w14:paraId="52C60FF7" w14:textId="77777777" w:rsidR="00413E45" w:rsidRDefault="00413E45" w:rsidP="006B6D73">
      <w:pPr>
        <w:pStyle w:val="Tijeloteksta"/>
        <w:ind w:right="-2"/>
        <w:jc w:val="both"/>
        <w:rPr>
          <w:b/>
          <w:bCs/>
        </w:rPr>
      </w:pPr>
    </w:p>
    <w:p w14:paraId="4B497B36" w14:textId="7056DBC0" w:rsidR="00413E45" w:rsidRPr="009D29EF" w:rsidRDefault="00293424" w:rsidP="006B6D73">
      <w:pPr>
        <w:pStyle w:val="Tijeloteksta"/>
        <w:ind w:right="-2"/>
        <w:jc w:val="both"/>
        <w:rPr>
          <w:b/>
          <w:bCs/>
        </w:rPr>
      </w:pPr>
      <w:r w:rsidRPr="00554463">
        <w:rPr>
          <w:b/>
          <w:bCs/>
        </w:rPr>
        <w:t>Korištenje javnih površina s postavljenim privremenim netipiziranim objektim</w:t>
      </w:r>
      <w:r w:rsidR="008D1CCD" w:rsidRPr="00554463">
        <w:rPr>
          <w:b/>
          <w:bCs/>
        </w:rPr>
        <w:t>a.</w:t>
      </w:r>
    </w:p>
    <w:p w14:paraId="2962AA17" w14:textId="066A1A33" w:rsidR="00293424" w:rsidRDefault="00293424" w:rsidP="00FE2CA9">
      <w:pPr>
        <w:pStyle w:val="Tijeloteksta"/>
        <w:ind w:right="-2" w:firstLine="709"/>
        <w:jc w:val="both"/>
      </w:pPr>
      <w:r>
        <w:t>Početna visina poreza za korištenje javne površine s postavljenim privremenim netipiziranim objektom</w:t>
      </w:r>
      <w:r>
        <w:rPr>
          <w:spacing w:val="1"/>
        </w:rPr>
        <w:t xml:space="preserve"> </w:t>
      </w:r>
      <w:r>
        <w:t>(štand, klupa i slično), u razdoblju od 01. svibnja do 30. rujna u godini, utvrđuje se prema djelatnostima, u</w:t>
      </w:r>
      <w:r w:rsidR="00460478">
        <w:t xml:space="preserve"> </w:t>
      </w:r>
      <w:r>
        <w:rPr>
          <w:spacing w:val="-57"/>
        </w:rPr>
        <w:t xml:space="preserve"> </w:t>
      </w:r>
      <w:r>
        <w:t>iznosu kako slijedi:</w:t>
      </w:r>
    </w:p>
    <w:p w14:paraId="440EEB90" w14:textId="0B6FC98F" w:rsidR="00293424" w:rsidRDefault="00293424" w:rsidP="006B6D73">
      <w:pPr>
        <w:pStyle w:val="Tijeloteksta"/>
        <w:jc w:val="both"/>
      </w:pPr>
    </w:p>
    <w:tbl>
      <w:tblPr>
        <w:tblStyle w:val="TableNormal"/>
        <w:tblW w:w="9072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3543"/>
      </w:tblGrid>
      <w:tr w:rsidR="00E57E7A" w14:paraId="145D1AD4" w14:textId="77777777" w:rsidTr="00E57E7A">
        <w:trPr>
          <w:trHeight w:val="34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90BF" w14:textId="674F89BC" w:rsidR="00E57E7A" w:rsidRPr="00BF5EDA" w:rsidRDefault="00E57E7A" w:rsidP="00E57E7A">
            <w:pPr>
              <w:pStyle w:val="TableParagraph"/>
              <w:spacing w:line="240" w:lineRule="auto"/>
              <w:ind w:left="0"/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Djelatnost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8ABA1" w14:textId="1F2F4FF6" w:rsidR="00E57E7A" w:rsidRPr="00BF5EDA" w:rsidRDefault="00E57E7A" w:rsidP="00E57E7A">
            <w:pPr>
              <w:pStyle w:val="TableParagraph"/>
              <w:spacing w:line="240" w:lineRule="auto"/>
              <w:ind w:left="0"/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Iznos poreza u eurima</w:t>
            </w:r>
          </w:p>
        </w:tc>
      </w:tr>
      <w:tr w:rsidR="00293424" w14:paraId="29331C8D" w14:textId="77777777" w:rsidTr="00E57E7A">
        <w:trPr>
          <w:trHeight w:val="265"/>
        </w:trPr>
        <w:tc>
          <w:tcPr>
            <w:tcW w:w="5529" w:type="dxa"/>
            <w:vAlign w:val="center"/>
          </w:tcPr>
          <w:p w14:paraId="52DB061A" w14:textId="77777777" w:rsidR="00293424" w:rsidRDefault="00293424" w:rsidP="006B6D73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prodaja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palačinki</w:t>
            </w:r>
          </w:p>
        </w:tc>
        <w:tc>
          <w:tcPr>
            <w:tcW w:w="3543" w:type="dxa"/>
            <w:vAlign w:val="center"/>
          </w:tcPr>
          <w:p w14:paraId="3785F5CA" w14:textId="77777777" w:rsidR="00293424" w:rsidRPr="00B25F15" w:rsidRDefault="00293424" w:rsidP="00FE2CA9">
            <w:pPr>
              <w:pStyle w:val="TableParagraph"/>
              <w:spacing w:line="240" w:lineRule="auto"/>
              <w:ind w:left="0"/>
              <w:jc w:val="center"/>
              <w:rPr>
                <w:bCs/>
                <w:sz w:val="24"/>
              </w:rPr>
            </w:pPr>
            <w:r w:rsidRPr="00B25F15">
              <w:rPr>
                <w:bCs/>
                <w:sz w:val="24"/>
              </w:rPr>
              <w:t>5.308,91</w:t>
            </w:r>
          </w:p>
        </w:tc>
      </w:tr>
      <w:tr w:rsidR="00293424" w14:paraId="2EB90AC7" w14:textId="77777777" w:rsidTr="00E57E7A">
        <w:trPr>
          <w:trHeight w:val="296"/>
        </w:trPr>
        <w:tc>
          <w:tcPr>
            <w:tcW w:w="5529" w:type="dxa"/>
            <w:vAlign w:val="center"/>
          </w:tcPr>
          <w:p w14:paraId="28DB22B8" w14:textId="77777777" w:rsidR="00293424" w:rsidRDefault="00293424" w:rsidP="006B6D73">
            <w:pPr>
              <w:pStyle w:val="TableParagraph"/>
              <w:spacing w:line="240" w:lineRule="auto"/>
              <w:ind w:left="0" w:right="114"/>
              <w:jc w:val="both"/>
              <w:rPr>
                <w:sz w:val="24"/>
              </w:rPr>
            </w:pPr>
            <w:r>
              <w:rPr>
                <w:sz w:val="24"/>
              </w:rPr>
              <w:t>forneti,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krofnice,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fritule,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sendviči,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sladoled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slično</w:t>
            </w:r>
          </w:p>
        </w:tc>
        <w:tc>
          <w:tcPr>
            <w:tcW w:w="3543" w:type="dxa"/>
            <w:vAlign w:val="center"/>
          </w:tcPr>
          <w:p w14:paraId="79CFA9FB" w14:textId="77777777" w:rsidR="00293424" w:rsidRPr="00B25F15" w:rsidRDefault="00293424" w:rsidP="00FE2CA9">
            <w:pPr>
              <w:pStyle w:val="TableParagraph"/>
              <w:spacing w:line="240" w:lineRule="auto"/>
              <w:ind w:left="0"/>
              <w:jc w:val="center"/>
              <w:rPr>
                <w:bCs/>
                <w:sz w:val="24"/>
              </w:rPr>
            </w:pPr>
            <w:r w:rsidRPr="00B25F15">
              <w:rPr>
                <w:bCs/>
                <w:sz w:val="24"/>
              </w:rPr>
              <w:t>3.318,07</w:t>
            </w:r>
          </w:p>
        </w:tc>
      </w:tr>
    </w:tbl>
    <w:p w14:paraId="12E0897D" w14:textId="77777777" w:rsidR="00426C0A" w:rsidRDefault="00426C0A" w:rsidP="006B6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1BE0A" w14:textId="0BA4D08C" w:rsidR="00293424" w:rsidRDefault="00B576E3" w:rsidP="00213C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93424" w:rsidRPr="00293424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 xml:space="preserve">svaki </w:t>
      </w:r>
      <w:r w:rsidR="00293424" w:rsidRPr="00293424">
        <w:rPr>
          <w:rFonts w:ascii="Times New Roman" w:hAnsi="Times New Roman" w:cs="Times New Roman"/>
          <w:sz w:val="24"/>
          <w:szCs w:val="24"/>
        </w:rPr>
        <w:t>dodatni mjesec rada za gore navedene djelatnosti obračunati će se porez u iznosu od ¼</w:t>
      </w:r>
      <w:r>
        <w:rPr>
          <w:rFonts w:ascii="Times New Roman" w:hAnsi="Times New Roman" w:cs="Times New Roman"/>
          <w:sz w:val="24"/>
          <w:szCs w:val="24"/>
        </w:rPr>
        <w:t xml:space="preserve"> (jedna četvrtina) </w:t>
      </w:r>
      <w:r w:rsidR="00293424" w:rsidRPr="00293424">
        <w:rPr>
          <w:rFonts w:ascii="Times New Roman" w:hAnsi="Times New Roman" w:cs="Times New Roman"/>
          <w:sz w:val="24"/>
          <w:szCs w:val="24"/>
        </w:rPr>
        <w:t xml:space="preserve"> ukupnog iznosa</w:t>
      </w:r>
      <w:r w:rsidR="00B33E3C">
        <w:rPr>
          <w:rFonts w:ascii="Times New Roman" w:hAnsi="Times New Roman" w:cs="Times New Roman"/>
          <w:sz w:val="24"/>
          <w:szCs w:val="24"/>
        </w:rPr>
        <w:t xml:space="preserve"> </w:t>
      </w:r>
      <w:r w:rsidR="00293424" w:rsidRPr="0029342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="00293424" w:rsidRPr="00293424">
        <w:rPr>
          <w:rFonts w:ascii="Times New Roman" w:hAnsi="Times New Roman" w:cs="Times New Roman"/>
          <w:sz w:val="24"/>
          <w:szCs w:val="24"/>
        </w:rPr>
        <w:t>poreza</w:t>
      </w:r>
      <w:r w:rsidR="00293424">
        <w:rPr>
          <w:rFonts w:ascii="Times New Roman" w:hAnsi="Times New Roman" w:cs="Times New Roman"/>
          <w:sz w:val="24"/>
          <w:szCs w:val="24"/>
        </w:rPr>
        <w:t>.</w:t>
      </w:r>
    </w:p>
    <w:p w14:paraId="10BFEEE7" w14:textId="77777777" w:rsidR="00426C0A" w:rsidRDefault="00426C0A" w:rsidP="006B6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69184" w14:textId="4F39382E" w:rsidR="00426C0A" w:rsidRPr="009D29EF" w:rsidRDefault="00293A2D" w:rsidP="009D2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3A2D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1636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93A2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F08D7C2" w14:textId="612D180C" w:rsidR="00426C0A" w:rsidRPr="009D29EF" w:rsidRDefault="00293A2D" w:rsidP="006B6D73">
      <w:pPr>
        <w:pStyle w:val="Tijeloteksta"/>
        <w:jc w:val="both"/>
        <w:rPr>
          <w:b/>
          <w:bCs/>
        </w:rPr>
      </w:pPr>
      <w:r w:rsidRPr="00554463">
        <w:rPr>
          <w:b/>
          <w:bCs/>
        </w:rPr>
        <w:t>Korištenje javnih površina s postavljenim privremenim montažnim objektom – kioskom</w:t>
      </w:r>
    </w:p>
    <w:p w14:paraId="0DFBB58B" w14:textId="795939BC" w:rsidR="00084408" w:rsidRDefault="00084408" w:rsidP="008B626F">
      <w:pPr>
        <w:pStyle w:val="Tijeloteksta"/>
        <w:ind w:firstLine="709"/>
        <w:jc w:val="both"/>
      </w:pPr>
      <w:r>
        <w:t>Početna visina poreza za korištenje javne površine s postavljenim privremenim montažnim objektom -</w:t>
      </w:r>
      <w:r>
        <w:rPr>
          <w:spacing w:val="1"/>
        </w:rPr>
        <w:t xml:space="preserve"> </w:t>
      </w:r>
      <w:r>
        <w:t xml:space="preserve">kioskom, u razdoblju od 01. siječnja do 31. prosinca u godini, utvrđuje se prema zoni i djelatnosti, kako </w:t>
      </w:r>
      <w:r>
        <w:rPr>
          <w:spacing w:val="-57"/>
        </w:rPr>
        <w:t xml:space="preserve"> </w:t>
      </w:r>
      <w:r>
        <w:t>slijedi:</w:t>
      </w:r>
    </w:p>
    <w:p w14:paraId="0AA3404A" w14:textId="13D24DDD" w:rsidR="007D0D87" w:rsidRDefault="007D0D87" w:rsidP="006B6D73">
      <w:pPr>
        <w:pStyle w:val="Tijeloteksta"/>
        <w:ind w:right="641"/>
        <w:jc w:val="both"/>
      </w:pPr>
    </w:p>
    <w:tbl>
      <w:tblPr>
        <w:tblStyle w:val="TableNormal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552"/>
        <w:gridCol w:w="2551"/>
        <w:gridCol w:w="2835"/>
      </w:tblGrid>
      <w:tr w:rsidR="00213C9F" w14:paraId="2B1296E2" w14:textId="77777777" w:rsidTr="00213C9F">
        <w:trPr>
          <w:trHeight w:val="422"/>
        </w:trPr>
        <w:tc>
          <w:tcPr>
            <w:tcW w:w="1134" w:type="dxa"/>
            <w:vMerge w:val="restart"/>
            <w:vAlign w:val="center"/>
          </w:tcPr>
          <w:p w14:paraId="25A45050" w14:textId="7A133678" w:rsidR="00213C9F" w:rsidRDefault="00213C9F" w:rsidP="008B626F">
            <w:pPr>
              <w:pStyle w:val="TableParagraph"/>
              <w:spacing w:line="240" w:lineRule="auto"/>
              <w:ind w:left="0"/>
              <w:jc w:val="center"/>
            </w:pPr>
            <w:r>
              <w:rPr>
                <w:sz w:val="24"/>
              </w:rPr>
              <w:t>Zona</w:t>
            </w:r>
          </w:p>
        </w:tc>
        <w:tc>
          <w:tcPr>
            <w:tcW w:w="7938" w:type="dxa"/>
            <w:gridSpan w:val="3"/>
            <w:vAlign w:val="center"/>
          </w:tcPr>
          <w:p w14:paraId="2BA9C5B6" w14:textId="52E99D2C" w:rsidR="00213C9F" w:rsidRDefault="00213C9F" w:rsidP="008B626F">
            <w:pPr>
              <w:pStyle w:val="TableParagraph"/>
              <w:spacing w:line="240" w:lineRule="auto"/>
              <w:ind w:left="0" w:right="130"/>
              <w:jc w:val="center"/>
              <w:rPr>
                <w:sz w:val="24"/>
              </w:rPr>
            </w:pPr>
            <w:r>
              <w:rPr>
                <w:sz w:val="24"/>
              </w:rPr>
              <w:t>Godišnji porez u eurima</w:t>
            </w:r>
          </w:p>
        </w:tc>
      </w:tr>
      <w:tr w:rsidR="00213C9F" w14:paraId="0B9338AE" w14:textId="77777777" w:rsidTr="00213C9F">
        <w:trPr>
          <w:trHeight w:val="556"/>
        </w:trPr>
        <w:tc>
          <w:tcPr>
            <w:tcW w:w="1134" w:type="dxa"/>
            <w:vMerge/>
            <w:vAlign w:val="center"/>
          </w:tcPr>
          <w:p w14:paraId="033325AF" w14:textId="38CD4A40" w:rsidR="00213C9F" w:rsidRDefault="00213C9F" w:rsidP="008B6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C396C49" w14:textId="36B984F4" w:rsidR="00213C9F" w:rsidRDefault="00213C9F" w:rsidP="008B6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Ugostiteljska djelatnost</w:t>
            </w:r>
          </w:p>
        </w:tc>
        <w:tc>
          <w:tcPr>
            <w:tcW w:w="2551" w:type="dxa"/>
            <w:vAlign w:val="center"/>
          </w:tcPr>
          <w:p w14:paraId="21FC11D4" w14:textId="77777777" w:rsidR="00213C9F" w:rsidRDefault="00213C9F" w:rsidP="008B626F">
            <w:pPr>
              <w:pStyle w:val="TableParagraph"/>
              <w:spacing w:line="240" w:lineRule="auto"/>
              <w:ind w:left="0" w:right="264"/>
              <w:jc w:val="center"/>
              <w:rPr>
                <w:sz w:val="24"/>
              </w:rPr>
            </w:pPr>
            <w:r>
              <w:rPr>
                <w:sz w:val="24"/>
              </w:rPr>
              <w:t>Trgovačka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druge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djelatnosti</w:t>
            </w:r>
          </w:p>
        </w:tc>
        <w:tc>
          <w:tcPr>
            <w:tcW w:w="2835" w:type="dxa"/>
            <w:vAlign w:val="center"/>
          </w:tcPr>
          <w:p w14:paraId="5E44AC4F" w14:textId="0C2661FF" w:rsidR="00213C9F" w:rsidRDefault="00213C9F" w:rsidP="008B626F">
            <w:pPr>
              <w:pStyle w:val="TableParagraph"/>
              <w:tabs>
                <w:tab w:val="left" w:pos="1373"/>
                <w:tab w:val="left" w:pos="1734"/>
              </w:tabs>
              <w:spacing w:line="240" w:lineRule="auto"/>
              <w:ind w:left="0" w:right="7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Trgovačka - </w:t>
            </w:r>
            <w:r>
              <w:rPr>
                <w:spacing w:val="-1"/>
                <w:sz w:val="24"/>
              </w:rPr>
              <w:t>tisak,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 slično</w:t>
            </w:r>
          </w:p>
        </w:tc>
      </w:tr>
      <w:tr w:rsidR="00BF5EDA" w14:paraId="49D3DF9B" w14:textId="77777777" w:rsidTr="00213C9F">
        <w:trPr>
          <w:trHeight w:val="265"/>
        </w:trPr>
        <w:tc>
          <w:tcPr>
            <w:tcW w:w="1134" w:type="dxa"/>
            <w:vAlign w:val="center"/>
          </w:tcPr>
          <w:p w14:paraId="29F226DB" w14:textId="77777777" w:rsidR="00BF5EDA" w:rsidRDefault="00BF5EDA" w:rsidP="008B6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2552" w:type="dxa"/>
            <w:vAlign w:val="center"/>
          </w:tcPr>
          <w:p w14:paraId="49C96983" w14:textId="77777777" w:rsidR="00BF5EDA" w:rsidRDefault="00BF5EDA" w:rsidP="008B6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5.308,91</w:t>
            </w:r>
          </w:p>
        </w:tc>
        <w:tc>
          <w:tcPr>
            <w:tcW w:w="2551" w:type="dxa"/>
            <w:vAlign w:val="center"/>
          </w:tcPr>
          <w:p w14:paraId="4EE1AB25" w14:textId="77777777" w:rsidR="00BF5EDA" w:rsidRDefault="00BF5EDA" w:rsidP="008B6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4.645,30</w:t>
            </w:r>
          </w:p>
        </w:tc>
        <w:tc>
          <w:tcPr>
            <w:tcW w:w="2835" w:type="dxa"/>
            <w:vAlign w:val="center"/>
          </w:tcPr>
          <w:p w14:paraId="426F7B24" w14:textId="77777777" w:rsidR="00BF5EDA" w:rsidRDefault="00BF5EDA" w:rsidP="008B6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3.318,07</w:t>
            </w:r>
          </w:p>
        </w:tc>
      </w:tr>
      <w:tr w:rsidR="00BF5EDA" w14:paraId="35B5E06F" w14:textId="77777777" w:rsidTr="00213C9F">
        <w:trPr>
          <w:trHeight w:val="265"/>
        </w:trPr>
        <w:tc>
          <w:tcPr>
            <w:tcW w:w="1134" w:type="dxa"/>
            <w:vAlign w:val="center"/>
          </w:tcPr>
          <w:p w14:paraId="60361ABE" w14:textId="77777777" w:rsidR="00BF5EDA" w:rsidRDefault="00BF5EDA" w:rsidP="008B6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2552" w:type="dxa"/>
            <w:vAlign w:val="center"/>
          </w:tcPr>
          <w:p w14:paraId="16ACD846" w14:textId="77777777" w:rsidR="00BF5EDA" w:rsidRDefault="00BF5EDA" w:rsidP="008B6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3.918,68</w:t>
            </w:r>
          </w:p>
        </w:tc>
        <w:tc>
          <w:tcPr>
            <w:tcW w:w="2551" w:type="dxa"/>
            <w:vAlign w:val="center"/>
          </w:tcPr>
          <w:p w14:paraId="7FF1A275" w14:textId="77777777" w:rsidR="00BF5EDA" w:rsidRDefault="00BF5EDA" w:rsidP="008B626F">
            <w:pPr>
              <w:pStyle w:val="TableParagraph"/>
              <w:spacing w:line="240" w:lineRule="auto"/>
              <w:ind w:left="-5" w:firstLine="5"/>
              <w:jc w:val="center"/>
              <w:rPr>
                <w:sz w:val="24"/>
              </w:rPr>
            </w:pPr>
            <w:r>
              <w:rPr>
                <w:sz w:val="24"/>
              </w:rPr>
              <w:t>2.654,46</w:t>
            </w:r>
          </w:p>
        </w:tc>
        <w:tc>
          <w:tcPr>
            <w:tcW w:w="2835" w:type="dxa"/>
            <w:vAlign w:val="center"/>
          </w:tcPr>
          <w:p w14:paraId="73F26913" w14:textId="77777777" w:rsidR="00BF5EDA" w:rsidRDefault="00BF5EDA" w:rsidP="008B6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1.990,84</w:t>
            </w:r>
          </w:p>
        </w:tc>
      </w:tr>
      <w:tr w:rsidR="00BF5EDA" w14:paraId="573F606B" w14:textId="77777777" w:rsidTr="00213C9F">
        <w:trPr>
          <w:trHeight w:val="265"/>
        </w:trPr>
        <w:tc>
          <w:tcPr>
            <w:tcW w:w="1134" w:type="dxa"/>
            <w:vAlign w:val="center"/>
          </w:tcPr>
          <w:p w14:paraId="1D6FD6C5" w14:textId="77777777" w:rsidR="00BF5EDA" w:rsidRDefault="00BF5EDA" w:rsidP="008B6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2552" w:type="dxa"/>
            <w:vAlign w:val="center"/>
          </w:tcPr>
          <w:p w14:paraId="668F123D" w14:textId="77777777" w:rsidR="00BF5EDA" w:rsidRDefault="00BF5EDA" w:rsidP="008B6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2.654,46</w:t>
            </w:r>
          </w:p>
        </w:tc>
        <w:tc>
          <w:tcPr>
            <w:tcW w:w="2551" w:type="dxa"/>
            <w:vAlign w:val="center"/>
          </w:tcPr>
          <w:p w14:paraId="19BBA3BA" w14:textId="77777777" w:rsidR="00BF5EDA" w:rsidRDefault="00BF5EDA" w:rsidP="008B6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1.592,67</w:t>
            </w:r>
          </w:p>
        </w:tc>
        <w:tc>
          <w:tcPr>
            <w:tcW w:w="2835" w:type="dxa"/>
            <w:vAlign w:val="center"/>
          </w:tcPr>
          <w:p w14:paraId="4E84C9D2" w14:textId="77777777" w:rsidR="00BF5EDA" w:rsidRDefault="00BF5EDA" w:rsidP="008B6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1.327,23</w:t>
            </w:r>
          </w:p>
        </w:tc>
      </w:tr>
    </w:tbl>
    <w:p w14:paraId="0601D93A" w14:textId="77777777" w:rsidR="007D0D87" w:rsidRDefault="007D0D87" w:rsidP="006B6D73">
      <w:pPr>
        <w:pStyle w:val="Tijeloteksta"/>
        <w:ind w:right="641"/>
        <w:jc w:val="both"/>
      </w:pPr>
    </w:p>
    <w:p w14:paraId="1099BEB0" w14:textId="3ABF39B8" w:rsidR="008D1CCD" w:rsidRPr="00426C0A" w:rsidRDefault="00F52039" w:rsidP="00F52039">
      <w:pPr>
        <w:pStyle w:val="Tijeloteksta"/>
        <w:ind w:firstLine="709"/>
        <w:jc w:val="both"/>
        <w:rPr>
          <w:highlight w:val="yellow"/>
        </w:rPr>
      </w:pPr>
      <w:r>
        <w:t>Porez na korištenje javnih površina za postavljanje kioska utvrđen je</w:t>
      </w:r>
      <w:r w:rsidR="00C812EC">
        <w:t xml:space="preserve"> za javnu površinu do </w:t>
      </w:r>
      <w:bookmarkStart w:id="1" w:name="_Hlk148515551"/>
      <w:r w:rsidR="00C812EC" w:rsidRPr="00D24B3A">
        <w:t>površine propisane</w:t>
      </w:r>
      <w:r w:rsidRPr="00D24B3A">
        <w:t xml:space="preserve"> Pravilnikom o jednostavnim i drugim građevinama i radovima</w:t>
      </w:r>
      <w:r w:rsidRPr="00F52039">
        <w:rPr>
          <w:color w:val="00B050"/>
        </w:rPr>
        <w:t>.</w:t>
      </w:r>
      <w:bookmarkEnd w:id="1"/>
    </w:p>
    <w:p w14:paraId="56BBE334" w14:textId="58F29F71" w:rsidR="001E31AD" w:rsidRDefault="00F52039" w:rsidP="00F520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2039">
        <w:rPr>
          <w:rFonts w:ascii="Times New Roman" w:eastAsia="Times New Roman" w:hAnsi="Times New Roman" w:cs="Times New Roman"/>
          <w:sz w:val="24"/>
          <w:szCs w:val="24"/>
          <w:lang w:val="bs"/>
        </w:rPr>
        <w:t xml:space="preserve">Za kioske koji zauzimaju veću javnu površinu od površine utvrđene u prethodnom stavku, uz utvrđeni godišnji porez na korištenje javne površine, ukupni iznos poreza se za svaki </w:t>
      </w:r>
      <w:r w:rsidRPr="00F52039">
        <w:rPr>
          <w:rFonts w:ascii="Times New Roman" w:eastAsia="Times New Roman" w:hAnsi="Times New Roman" w:cs="Times New Roman"/>
          <w:sz w:val="24"/>
          <w:szCs w:val="24"/>
          <w:lang w:val="bs"/>
        </w:rPr>
        <w:lastRenderedPageBreak/>
        <w:t>započeti m</w:t>
      </w:r>
      <w:r w:rsidRPr="00F52039">
        <w:rPr>
          <w:rFonts w:ascii="Times New Roman" w:eastAsia="Times New Roman" w:hAnsi="Times New Roman" w:cs="Times New Roman"/>
          <w:sz w:val="24"/>
          <w:szCs w:val="24"/>
          <w:vertAlign w:val="superscript"/>
          <w:lang w:val="bs"/>
        </w:rPr>
        <w:t>2</w:t>
      </w:r>
      <w:r w:rsidRPr="00F52039">
        <w:rPr>
          <w:rFonts w:ascii="Times New Roman" w:eastAsia="Times New Roman" w:hAnsi="Times New Roman" w:cs="Times New Roman"/>
          <w:sz w:val="24"/>
          <w:szCs w:val="24"/>
          <w:lang w:val="bs"/>
        </w:rPr>
        <w:t xml:space="preserve"> zauzimanja javne površine preko površine utvrđene u prethodnom stavku uvećava za 50% od 1/12 (jedne dvanaestine) godišnjeg poreza, utvrđenog u stavku 1. ovoga članka.</w:t>
      </w:r>
    </w:p>
    <w:p w14:paraId="4D0DCD15" w14:textId="77777777" w:rsidR="00F52039" w:rsidRDefault="00F52039" w:rsidP="00213C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6E8B06" w14:textId="1A006E50" w:rsidR="008D1CCD" w:rsidRDefault="008D1CCD" w:rsidP="009D2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16365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0A3488" w14:textId="1D94A066" w:rsidR="00426C0A" w:rsidRPr="009D29EF" w:rsidRDefault="00824F85" w:rsidP="009D29EF">
      <w:pPr>
        <w:pStyle w:val="Tijeloteksta"/>
        <w:jc w:val="both"/>
        <w:rPr>
          <w:b/>
          <w:bCs/>
        </w:rPr>
      </w:pPr>
      <w:r w:rsidRPr="00D042AD">
        <w:rPr>
          <w:b/>
          <w:bCs/>
        </w:rPr>
        <w:t>Zabavne radnje</w:t>
      </w:r>
    </w:p>
    <w:p w14:paraId="3884B969" w14:textId="61DD4B94" w:rsidR="00824F85" w:rsidRDefault="00824F85" w:rsidP="00113585">
      <w:pPr>
        <w:pStyle w:val="Tijeloteksta"/>
        <w:ind w:right="-2" w:firstLine="709"/>
        <w:jc w:val="both"/>
      </w:pPr>
      <w:r>
        <w:t>Početna visina poreza na korištenje javne površine za postavljanje luna parkova, zabavnih radnji i slično</w:t>
      </w:r>
      <w:r w:rsidR="000F5EB2">
        <w:t xml:space="preserve"> </w:t>
      </w:r>
      <w:r>
        <w:rPr>
          <w:spacing w:val="-57"/>
        </w:rPr>
        <w:t xml:space="preserve"> </w:t>
      </w:r>
      <w:r>
        <w:t>utvrđuje se na po četvornom metru (u nastavku teksta: m</w:t>
      </w:r>
      <w:r w:rsidRPr="000F5EB2">
        <w:rPr>
          <w:vertAlign w:val="superscript"/>
        </w:rPr>
        <w:t>2</w:t>
      </w:r>
      <w:r>
        <w:t>) zauzimanja javne površine na dan i to:</w:t>
      </w:r>
    </w:p>
    <w:p w14:paraId="1340AE99" w14:textId="44C9DE77" w:rsidR="008D1CCD" w:rsidRDefault="008D1CCD" w:rsidP="006B6D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2"/>
        <w:gridCol w:w="4130"/>
      </w:tblGrid>
      <w:tr w:rsidR="00824F85" w14:paraId="6371A181" w14:textId="77777777" w:rsidTr="007F55C5">
        <w:trPr>
          <w:trHeight w:val="265"/>
        </w:trPr>
        <w:tc>
          <w:tcPr>
            <w:tcW w:w="4942" w:type="dxa"/>
          </w:tcPr>
          <w:p w14:paraId="30638769" w14:textId="77777777" w:rsidR="00824F85" w:rsidRDefault="00824F85" w:rsidP="006B6D73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od 0 do 50 </w:t>
            </w:r>
            <w:bookmarkStart w:id="2" w:name="_Hlk148515488"/>
            <w:r>
              <w:rPr>
                <w:sz w:val="24"/>
              </w:rPr>
              <w:t>m</w:t>
            </w:r>
            <w:r w:rsidRPr="00FC5E0D">
              <w:rPr>
                <w:sz w:val="24"/>
                <w:vertAlign w:val="superscript"/>
              </w:rPr>
              <w:t>2</w:t>
            </w:r>
            <w:bookmarkEnd w:id="2"/>
          </w:p>
        </w:tc>
        <w:tc>
          <w:tcPr>
            <w:tcW w:w="4130" w:type="dxa"/>
          </w:tcPr>
          <w:p w14:paraId="754E99DD" w14:textId="6D345A04" w:rsidR="00824F85" w:rsidRDefault="00824F85" w:rsidP="008B6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1,06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eura/</w:t>
            </w:r>
            <w:r w:rsidR="00FC5E0D">
              <w:rPr>
                <w:sz w:val="24"/>
              </w:rPr>
              <w:t xml:space="preserve"> m</w:t>
            </w:r>
            <w:r w:rsidR="00FC5E0D" w:rsidRPr="00FC5E0D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/dan</w:t>
            </w:r>
          </w:p>
        </w:tc>
      </w:tr>
      <w:tr w:rsidR="00824F85" w14:paraId="3E619E45" w14:textId="77777777" w:rsidTr="007F55C5">
        <w:trPr>
          <w:trHeight w:val="265"/>
        </w:trPr>
        <w:tc>
          <w:tcPr>
            <w:tcW w:w="4942" w:type="dxa"/>
          </w:tcPr>
          <w:p w14:paraId="194DB333" w14:textId="7D97426E" w:rsidR="00824F85" w:rsidRDefault="00824F85" w:rsidP="006B6D73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od 50 </w:t>
            </w:r>
            <w:r w:rsidR="00FC5E0D">
              <w:rPr>
                <w:sz w:val="24"/>
              </w:rPr>
              <w:t>m</w:t>
            </w:r>
            <w:r w:rsidR="00FC5E0D" w:rsidRPr="00FC5E0D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do 100 </w:t>
            </w:r>
            <w:r w:rsidR="00FC5E0D">
              <w:rPr>
                <w:sz w:val="24"/>
              </w:rPr>
              <w:t>m</w:t>
            </w:r>
            <w:r w:rsidR="00FC5E0D" w:rsidRPr="00FC5E0D">
              <w:rPr>
                <w:sz w:val="24"/>
                <w:vertAlign w:val="superscript"/>
              </w:rPr>
              <w:t>2</w:t>
            </w:r>
          </w:p>
        </w:tc>
        <w:tc>
          <w:tcPr>
            <w:tcW w:w="4130" w:type="dxa"/>
          </w:tcPr>
          <w:p w14:paraId="54E05D21" w14:textId="7EE158D7" w:rsidR="00824F85" w:rsidRDefault="00824F85" w:rsidP="008B6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0,80</w:t>
            </w:r>
            <w:r>
              <w:rPr>
                <w:spacing w:val="-1"/>
                <w:sz w:val="24"/>
              </w:rPr>
              <w:t xml:space="preserve"> eura</w:t>
            </w:r>
            <w:r>
              <w:rPr>
                <w:sz w:val="24"/>
              </w:rPr>
              <w:t>/</w:t>
            </w:r>
            <w:r w:rsidR="00FC5E0D">
              <w:rPr>
                <w:sz w:val="24"/>
              </w:rPr>
              <w:t xml:space="preserve"> m</w:t>
            </w:r>
            <w:r w:rsidR="00FC5E0D" w:rsidRPr="00FC5E0D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/dan</w:t>
            </w:r>
          </w:p>
        </w:tc>
      </w:tr>
      <w:tr w:rsidR="00824F85" w14:paraId="04A63D4B" w14:textId="77777777" w:rsidTr="007F55C5">
        <w:trPr>
          <w:trHeight w:val="265"/>
        </w:trPr>
        <w:tc>
          <w:tcPr>
            <w:tcW w:w="4942" w:type="dxa"/>
          </w:tcPr>
          <w:p w14:paraId="42018A65" w14:textId="5A32607D" w:rsidR="00824F85" w:rsidRDefault="00824F85" w:rsidP="006B6D73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od 100</w:t>
            </w:r>
            <w:r>
              <w:rPr>
                <w:spacing w:val="-2"/>
                <w:sz w:val="24"/>
              </w:rPr>
              <w:t xml:space="preserve"> </w:t>
            </w:r>
            <w:r w:rsidR="00FC5E0D">
              <w:rPr>
                <w:sz w:val="24"/>
              </w:rPr>
              <w:t>m</w:t>
            </w:r>
            <w:r w:rsidR="00FC5E0D" w:rsidRPr="00FC5E0D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do 200 </w:t>
            </w:r>
            <w:r w:rsidR="00FC5E0D">
              <w:rPr>
                <w:sz w:val="24"/>
              </w:rPr>
              <w:t>m</w:t>
            </w:r>
            <w:r w:rsidR="00FC5E0D" w:rsidRPr="00FC5E0D">
              <w:rPr>
                <w:sz w:val="24"/>
                <w:vertAlign w:val="superscript"/>
              </w:rPr>
              <w:t>2</w:t>
            </w:r>
          </w:p>
        </w:tc>
        <w:tc>
          <w:tcPr>
            <w:tcW w:w="4130" w:type="dxa"/>
          </w:tcPr>
          <w:p w14:paraId="5027098D" w14:textId="2375FC10" w:rsidR="00824F85" w:rsidRDefault="00824F85" w:rsidP="008B6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0,64</w:t>
            </w:r>
            <w:r>
              <w:rPr>
                <w:spacing w:val="-1"/>
                <w:sz w:val="24"/>
              </w:rPr>
              <w:t xml:space="preserve"> eura</w:t>
            </w:r>
            <w:r>
              <w:rPr>
                <w:sz w:val="24"/>
              </w:rPr>
              <w:t>/</w:t>
            </w:r>
            <w:r w:rsidR="00FC5E0D">
              <w:rPr>
                <w:sz w:val="24"/>
              </w:rPr>
              <w:t xml:space="preserve"> m</w:t>
            </w:r>
            <w:r w:rsidR="00FC5E0D" w:rsidRPr="00FC5E0D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/dan</w:t>
            </w:r>
          </w:p>
        </w:tc>
      </w:tr>
      <w:tr w:rsidR="00824F85" w14:paraId="62A16469" w14:textId="77777777" w:rsidTr="007F55C5">
        <w:trPr>
          <w:trHeight w:val="265"/>
        </w:trPr>
        <w:tc>
          <w:tcPr>
            <w:tcW w:w="4942" w:type="dxa"/>
          </w:tcPr>
          <w:p w14:paraId="788A1C44" w14:textId="59DC72AC" w:rsidR="00824F85" w:rsidRDefault="00824F85" w:rsidP="006B6D73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od 200 </w:t>
            </w:r>
            <w:r w:rsidR="00FC5E0D">
              <w:rPr>
                <w:sz w:val="24"/>
              </w:rPr>
              <w:t>m</w:t>
            </w:r>
            <w:r w:rsidR="00FC5E0D" w:rsidRPr="00FC5E0D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do 400 </w:t>
            </w:r>
            <w:r w:rsidR="00FC5E0D">
              <w:rPr>
                <w:sz w:val="24"/>
              </w:rPr>
              <w:t>m</w:t>
            </w:r>
            <w:r w:rsidR="00FC5E0D" w:rsidRPr="00FC5E0D">
              <w:rPr>
                <w:sz w:val="24"/>
                <w:vertAlign w:val="superscript"/>
              </w:rPr>
              <w:t>2</w:t>
            </w:r>
          </w:p>
        </w:tc>
        <w:tc>
          <w:tcPr>
            <w:tcW w:w="4130" w:type="dxa"/>
          </w:tcPr>
          <w:p w14:paraId="656B5B7B" w14:textId="10F952B9" w:rsidR="00824F85" w:rsidRDefault="00824F85" w:rsidP="008B6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0,48</w:t>
            </w:r>
            <w:r>
              <w:rPr>
                <w:spacing w:val="-1"/>
                <w:sz w:val="24"/>
              </w:rPr>
              <w:t xml:space="preserve"> eura</w:t>
            </w:r>
            <w:r>
              <w:rPr>
                <w:sz w:val="24"/>
              </w:rPr>
              <w:t>/</w:t>
            </w:r>
            <w:r w:rsidR="00FC5E0D">
              <w:rPr>
                <w:sz w:val="24"/>
              </w:rPr>
              <w:t xml:space="preserve"> m</w:t>
            </w:r>
            <w:r w:rsidR="00FC5E0D" w:rsidRPr="00FC5E0D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/dan</w:t>
            </w:r>
          </w:p>
        </w:tc>
      </w:tr>
      <w:tr w:rsidR="00824F85" w14:paraId="726C8417" w14:textId="77777777" w:rsidTr="007F55C5">
        <w:trPr>
          <w:trHeight w:val="265"/>
        </w:trPr>
        <w:tc>
          <w:tcPr>
            <w:tcW w:w="4942" w:type="dxa"/>
          </w:tcPr>
          <w:p w14:paraId="6495EB1B" w14:textId="6DDAC94E" w:rsidR="00824F85" w:rsidRDefault="00824F85" w:rsidP="006B6D73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od 400 </w:t>
            </w:r>
            <w:r w:rsidR="00FC5E0D">
              <w:rPr>
                <w:sz w:val="24"/>
              </w:rPr>
              <w:t>m</w:t>
            </w:r>
            <w:r w:rsidR="00FC5E0D" w:rsidRPr="00FC5E0D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do 800 </w:t>
            </w:r>
            <w:r w:rsidR="00FC5E0D">
              <w:rPr>
                <w:sz w:val="24"/>
              </w:rPr>
              <w:t>m</w:t>
            </w:r>
            <w:r w:rsidR="00FC5E0D" w:rsidRPr="00FC5E0D">
              <w:rPr>
                <w:sz w:val="24"/>
                <w:vertAlign w:val="superscript"/>
              </w:rPr>
              <w:t>2</w:t>
            </w:r>
          </w:p>
        </w:tc>
        <w:tc>
          <w:tcPr>
            <w:tcW w:w="4130" w:type="dxa"/>
          </w:tcPr>
          <w:p w14:paraId="66695847" w14:textId="70041BA7" w:rsidR="00824F85" w:rsidRDefault="00824F85" w:rsidP="008B6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0,32 eura/</w:t>
            </w:r>
            <w:r w:rsidR="00FC5E0D">
              <w:rPr>
                <w:sz w:val="24"/>
              </w:rPr>
              <w:t xml:space="preserve"> m</w:t>
            </w:r>
            <w:r w:rsidR="00FC5E0D" w:rsidRPr="00FC5E0D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/dan</w:t>
            </w:r>
          </w:p>
        </w:tc>
      </w:tr>
      <w:tr w:rsidR="00824F85" w14:paraId="57436EC5" w14:textId="77777777" w:rsidTr="007F55C5">
        <w:trPr>
          <w:trHeight w:val="265"/>
        </w:trPr>
        <w:tc>
          <w:tcPr>
            <w:tcW w:w="4942" w:type="dxa"/>
          </w:tcPr>
          <w:p w14:paraId="48146090" w14:textId="779AF4E8" w:rsidR="00824F85" w:rsidRDefault="00824F85" w:rsidP="006B6D73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od 800 </w:t>
            </w:r>
            <w:r w:rsidR="00FC5E0D">
              <w:rPr>
                <w:sz w:val="24"/>
              </w:rPr>
              <w:t>m</w:t>
            </w:r>
            <w:r w:rsidR="00FC5E0D" w:rsidRPr="00FC5E0D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do 1600</w:t>
            </w:r>
            <w:r w:rsidR="00FC5E0D">
              <w:rPr>
                <w:sz w:val="24"/>
              </w:rPr>
              <w:t xml:space="preserve"> m</w:t>
            </w:r>
            <w:r w:rsidR="00FC5E0D" w:rsidRPr="00FC5E0D">
              <w:rPr>
                <w:sz w:val="24"/>
                <w:vertAlign w:val="superscript"/>
              </w:rPr>
              <w:t>2</w:t>
            </w:r>
          </w:p>
        </w:tc>
        <w:tc>
          <w:tcPr>
            <w:tcW w:w="4130" w:type="dxa"/>
          </w:tcPr>
          <w:p w14:paraId="50C9580B" w14:textId="3B6680E2" w:rsidR="00824F85" w:rsidRDefault="00824F85" w:rsidP="008B6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0,16</w:t>
            </w:r>
            <w:r>
              <w:rPr>
                <w:spacing w:val="-1"/>
                <w:sz w:val="24"/>
              </w:rPr>
              <w:t xml:space="preserve"> eura</w:t>
            </w:r>
            <w:r>
              <w:rPr>
                <w:sz w:val="24"/>
              </w:rPr>
              <w:t>/</w:t>
            </w:r>
            <w:r w:rsidR="00FC5E0D">
              <w:rPr>
                <w:sz w:val="24"/>
              </w:rPr>
              <w:t xml:space="preserve"> m</w:t>
            </w:r>
            <w:r w:rsidR="00FC5E0D" w:rsidRPr="00FC5E0D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/dan</w:t>
            </w:r>
          </w:p>
        </w:tc>
      </w:tr>
      <w:tr w:rsidR="00824F85" w14:paraId="7E6DDA3E" w14:textId="77777777" w:rsidTr="007F55C5">
        <w:trPr>
          <w:trHeight w:val="265"/>
        </w:trPr>
        <w:tc>
          <w:tcPr>
            <w:tcW w:w="4942" w:type="dxa"/>
          </w:tcPr>
          <w:p w14:paraId="50FD4E10" w14:textId="4B98E1B3" w:rsidR="00824F85" w:rsidRDefault="00824F85" w:rsidP="006B6D73">
            <w:pPr>
              <w:pStyle w:val="TableParagraph"/>
              <w:spacing w:line="240" w:lineRule="auto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od 1600 </w:t>
            </w:r>
            <w:r w:rsidR="00FC5E0D">
              <w:rPr>
                <w:sz w:val="24"/>
              </w:rPr>
              <w:t>m</w:t>
            </w:r>
            <w:r w:rsidR="00FC5E0D" w:rsidRPr="00FC5E0D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do 3000 </w:t>
            </w:r>
            <w:r w:rsidR="00FC5E0D">
              <w:rPr>
                <w:sz w:val="24"/>
              </w:rPr>
              <w:t>m</w:t>
            </w:r>
            <w:r w:rsidR="00FC5E0D" w:rsidRPr="00FC5E0D">
              <w:rPr>
                <w:sz w:val="24"/>
                <w:vertAlign w:val="superscript"/>
              </w:rPr>
              <w:t>2</w:t>
            </w:r>
          </w:p>
        </w:tc>
        <w:tc>
          <w:tcPr>
            <w:tcW w:w="4130" w:type="dxa"/>
          </w:tcPr>
          <w:p w14:paraId="20A89521" w14:textId="5AB7D341" w:rsidR="00824F85" w:rsidRDefault="00824F85" w:rsidP="008B626F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0,08</w:t>
            </w:r>
            <w:r>
              <w:rPr>
                <w:spacing w:val="-1"/>
                <w:sz w:val="24"/>
              </w:rPr>
              <w:t xml:space="preserve"> eura</w:t>
            </w:r>
            <w:r>
              <w:rPr>
                <w:sz w:val="24"/>
              </w:rPr>
              <w:t>/</w:t>
            </w:r>
            <w:r w:rsidR="00FC5E0D">
              <w:rPr>
                <w:sz w:val="24"/>
              </w:rPr>
              <w:t xml:space="preserve"> m</w:t>
            </w:r>
            <w:r w:rsidR="00FC5E0D" w:rsidRPr="00FC5E0D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/dan</w:t>
            </w:r>
          </w:p>
        </w:tc>
      </w:tr>
    </w:tbl>
    <w:p w14:paraId="0F6853CD" w14:textId="156F22B8" w:rsidR="00824F85" w:rsidRDefault="00824F85" w:rsidP="006B6D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D4655" w14:textId="011F6942" w:rsidR="00EE195B" w:rsidRDefault="00824F85" w:rsidP="009D29EF">
      <w:pPr>
        <w:pStyle w:val="Tijeloteksta"/>
        <w:ind w:right="-2" w:firstLine="709"/>
        <w:jc w:val="both"/>
      </w:pPr>
      <w:r>
        <w:t>Visina</w:t>
      </w:r>
      <w:r>
        <w:rPr>
          <w:spacing w:val="-2"/>
        </w:rPr>
        <w:t xml:space="preserve"> </w:t>
      </w:r>
      <w:r>
        <w:t>poreza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korištenje</w:t>
      </w:r>
      <w:r>
        <w:rPr>
          <w:spacing w:val="-2"/>
        </w:rPr>
        <w:t xml:space="preserve"> </w:t>
      </w:r>
      <w:r>
        <w:t>javne</w:t>
      </w:r>
      <w:r>
        <w:rPr>
          <w:spacing w:val="-2"/>
        </w:rPr>
        <w:t xml:space="preserve"> </w:t>
      </w:r>
      <w:r>
        <w:t>površine</w:t>
      </w:r>
      <w:r>
        <w:rPr>
          <w:spacing w:val="-1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prethodnog</w:t>
      </w:r>
      <w:r>
        <w:rPr>
          <w:spacing w:val="-2"/>
        </w:rPr>
        <w:t xml:space="preserve"> </w:t>
      </w:r>
      <w:r>
        <w:t>stavka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mjeseca</w:t>
      </w:r>
      <w:r>
        <w:rPr>
          <w:spacing w:val="-2"/>
        </w:rPr>
        <w:t xml:space="preserve"> </w:t>
      </w:r>
      <w:r>
        <w:t>srpnja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kolovoza</w:t>
      </w:r>
      <w:r>
        <w:rPr>
          <w:spacing w:val="-2"/>
        </w:rPr>
        <w:t xml:space="preserve"> </w:t>
      </w:r>
      <w:r>
        <w:t>plaća</w:t>
      </w:r>
      <w:r>
        <w:rPr>
          <w:spacing w:val="-2"/>
        </w:rPr>
        <w:t xml:space="preserve"> </w:t>
      </w:r>
      <w:r>
        <w:t>se</w:t>
      </w:r>
      <w:r>
        <w:rPr>
          <w:spacing w:val="-57"/>
        </w:rPr>
        <w:t xml:space="preserve"> </w:t>
      </w:r>
      <w:r>
        <w:t>u 100% iznosu, za period mjeseca lipnja i rujna plaća se u 75% iznosu, za period mjeseca travnja, svibnja i</w:t>
      </w:r>
      <w:r>
        <w:rPr>
          <w:spacing w:val="1"/>
        </w:rPr>
        <w:t xml:space="preserve"> </w:t>
      </w:r>
      <w:r>
        <w:t>listopada u 50% iznosu, dok se za preostali period godine plaća 25% iznosa.</w:t>
      </w:r>
    </w:p>
    <w:p w14:paraId="2D15B82F" w14:textId="77777777" w:rsidR="009D29EF" w:rsidRPr="009D29EF" w:rsidRDefault="009D29EF" w:rsidP="009D29EF">
      <w:pPr>
        <w:pStyle w:val="Tijeloteksta"/>
        <w:ind w:right="-2" w:firstLine="709"/>
        <w:jc w:val="both"/>
      </w:pPr>
    </w:p>
    <w:p w14:paraId="56612C54" w14:textId="4440B2FD" w:rsidR="00EE195B" w:rsidRDefault="00EE195B" w:rsidP="009D2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16365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9D29E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D32A7B" w14:textId="397C9BAB" w:rsidR="00EE195B" w:rsidRPr="009D29EF" w:rsidRDefault="00EE195B" w:rsidP="006B6D73">
      <w:pPr>
        <w:pStyle w:val="Tijeloteksta"/>
        <w:jc w:val="both"/>
        <w:rPr>
          <w:b/>
          <w:bCs/>
        </w:rPr>
      </w:pPr>
      <w:r w:rsidRPr="00554463">
        <w:rPr>
          <w:b/>
          <w:bCs/>
        </w:rPr>
        <w:t>Korištenje javnih površina s postavljenim pokretnim ugostiteljskim objektima</w:t>
      </w:r>
    </w:p>
    <w:p w14:paraId="1FE1D829" w14:textId="470B94C6" w:rsidR="00EE195B" w:rsidRDefault="00EE195B" w:rsidP="00F52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42AD">
        <w:rPr>
          <w:rFonts w:ascii="Times New Roman" w:hAnsi="Times New Roman" w:cs="Times New Roman"/>
          <w:sz w:val="24"/>
          <w:szCs w:val="24"/>
        </w:rPr>
        <w:t>Početna visina poreza za korištenje javne površine s postavljenim pokretnim ugostiteljskim objektom, u</w:t>
      </w:r>
      <w:r w:rsidRPr="00D042AD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D042AD">
        <w:rPr>
          <w:rFonts w:ascii="Times New Roman" w:hAnsi="Times New Roman" w:cs="Times New Roman"/>
          <w:sz w:val="24"/>
          <w:szCs w:val="24"/>
        </w:rPr>
        <w:t>razdoblju od 01. lipnja do 30. rujna u godini, utvrđuje se prema zoni kako slijedi</w:t>
      </w:r>
      <w:r w:rsidR="00D042AD" w:rsidRPr="00D042AD">
        <w:rPr>
          <w:rFonts w:ascii="Times New Roman" w:hAnsi="Times New Roman" w:cs="Times New Roman"/>
          <w:sz w:val="24"/>
          <w:szCs w:val="24"/>
        </w:rPr>
        <w:t>:</w:t>
      </w:r>
    </w:p>
    <w:p w14:paraId="225752E9" w14:textId="6BF9CEF8" w:rsidR="00D042AD" w:rsidRDefault="00D042AD" w:rsidP="006B6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3989"/>
      </w:tblGrid>
      <w:tr w:rsidR="00D042AD" w14:paraId="5E5936D8" w14:textId="77777777" w:rsidTr="00F52039">
        <w:trPr>
          <w:trHeight w:val="233"/>
        </w:trPr>
        <w:tc>
          <w:tcPr>
            <w:tcW w:w="4800" w:type="dxa"/>
          </w:tcPr>
          <w:p w14:paraId="7CF78529" w14:textId="52C9FEF8" w:rsidR="00D042AD" w:rsidRDefault="00D042AD" w:rsidP="00F520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Z</w:t>
            </w:r>
            <w:r w:rsidR="00213C9F">
              <w:rPr>
                <w:sz w:val="24"/>
              </w:rPr>
              <w:t>ona</w:t>
            </w:r>
          </w:p>
        </w:tc>
        <w:tc>
          <w:tcPr>
            <w:tcW w:w="3989" w:type="dxa"/>
          </w:tcPr>
          <w:p w14:paraId="3EBC7174" w14:textId="4112ED97" w:rsidR="00D042AD" w:rsidRDefault="00213C9F" w:rsidP="00F520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Iznos poreza u eurima</w:t>
            </w:r>
          </w:p>
        </w:tc>
      </w:tr>
      <w:tr w:rsidR="00D042AD" w14:paraId="3BACEF6F" w14:textId="77777777" w:rsidTr="00D042AD">
        <w:trPr>
          <w:trHeight w:val="265"/>
        </w:trPr>
        <w:tc>
          <w:tcPr>
            <w:tcW w:w="4800" w:type="dxa"/>
          </w:tcPr>
          <w:p w14:paraId="1F99F628" w14:textId="77777777" w:rsidR="00D042AD" w:rsidRDefault="00D042AD" w:rsidP="00F520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I</w:t>
            </w:r>
          </w:p>
        </w:tc>
        <w:tc>
          <w:tcPr>
            <w:tcW w:w="3989" w:type="dxa"/>
          </w:tcPr>
          <w:p w14:paraId="70850F68" w14:textId="77777777" w:rsidR="00D042AD" w:rsidRDefault="00D042AD" w:rsidP="00F520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3.981,68</w:t>
            </w:r>
          </w:p>
        </w:tc>
      </w:tr>
      <w:tr w:rsidR="00D042AD" w14:paraId="5F2D474F" w14:textId="77777777" w:rsidTr="00D042AD">
        <w:trPr>
          <w:trHeight w:val="265"/>
        </w:trPr>
        <w:tc>
          <w:tcPr>
            <w:tcW w:w="4800" w:type="dxa"/>
          </w:tcPr>
          <w:p w14:paraId="746A4977" w14:textId="77777777" w:rsidR="00D042AD" w:rsidRDefault="00D042AD" w:rsidP="00F520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II</w:t>
            </w:r>
          </w:p>
        </w:tc>
        <w:tc>
          <w:tcPr>
            <w:tcW w:w="3989" w:type="dxa"/>
          </w:tcPr>
          <w:p w14:paraId="2C9159C3" w14:textId="77777777" w:rsidR="00D042AD" w:rsidRDefault="00D042AD" w:rsidP="00F520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2.654,46</w:t>
            </w:r>
          </w:p>
        </w:tc>
      </w:tr>
      <w:tr w:rsidR="00D042AD" w14:paraId="36B2DA68" w14:textId="77777777" w:rsidTr="00D042AD">
        <w:trPr>
          <w:trHeight w:val="265"/>
        </w:trPr>
        <w:tc>
          <w:tcPr>
            <w:tcW w:w="4800" w:type="dxa"/>
          </w:tcPr>
          <w:p w14:paraId="671587C0" w14:textId="77777777" w:rsidR="00D042AD" w:rsidRDefault="00D042AD" w:rsidP="00F520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III</w:t>
            </w:r>
          </w:p>
        </w:tc>
        <w:tc>
          <w:tcPr>
            <w:tcW w:w="3989" w:type="dxa"/>
          </w:tcPr>
          <w:p w14:paraId="4005B9BA" w14:textId="77777777" w:rsidR="00D042AD" w:rsidRDefault="00D042AD" w:rsidP="00F5203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1.327,23</w:t>
            </w:r>
          </w:p>
        </w:tc>
      </w:tr>
    </w:tbl>
    <w:p w14:paraId="3A34C0B9" w14:textId="77777777" w:rsidR="000E4792" w:rsidRDefault="000E4792" w:rsidP="006B6D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5D6036" w14:textId="3547A730" w:rsidR="00D042AD" w:rsidRDefault="00751B33" w:rsidP="009D2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1B33"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16365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51B3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0B33767" w14:textId="7C6CCF40" w:rsidR="00751B33" w:rsidRPr="009D29EF" w:rsidRDefault="00751B33" w:rsidP="006B6D73">
      <w:pPr>
        <w:pStyle w:val="Tijeloteksta"/>
        <w:jc w:val="both"/>
        <w:rPr>
          <w:b/>
          <w:bCs/>
        </w:rPr>
      </w:pPr>
      <w:r w:rsidRPr="00554463">
        <w:rPr>
          <w:b/>
          <w:bCs/>
        </w:rPr>
        <w:t>Korištenje javne površine za ugostiteljske terase</w:t>
      </w:r>
    </w:p>
    <w:p w14:paraId="6EC8E175" w14:textId="3EC5B085" w:rsidR="008558F3" w:rsidRDefault="00751B33" w:rsidP="00F52039">
      <w:pPr>
        <w:pStyle w:val="Tijeloteksta"/>
        <w:ind w:right="-2" w:firstLine="709"/>
        <w:jc w:val="both"/>
      </w:pPr>
      <w:r>
        <w:t>Porez za korištenje javne površine za postavu ugostiteljske terase u svrhu pružanja ugostiteljskih usluga</w:t>
      </w:r>
      <w:r>
        <w:rPr>
          <w:spacing w:val="1"/>
        </w:rPr>
        <w:t xml:space="preserve"> </w:t>
      </w:r>
      <w:r>
        <w:t>utvrđuje se po jediničnoj cijeni po m</w:t>
      </w:r>
      <w:r w:rsidRPr="000F5EB2">
        <w:rPr>
          <w:vertAlign w:val="superscript"/>
        </w:rPr>
        <w:t>2</w:t>
      </w:r>
      <w:r>
        <w:t xml:space="preserve"> dnevno, zavisno od zone u kojoj se ugostiteljski objekt nalazi, kako</w:t>
      </w:r>
      <w:r w:rsidR="00DD3FD1">
        <w:t xml:space="preserve"> </w:t>
      </w:r>
      <w:r>
        <w:rPr>
          <w:spacing w:val="-57"/>
        </w:rPr>
        <w:t xml:space="preserve">  </w:t>
      </w:r>
      <w:r>
        <w:t>slijedi</w:t>
      </w:r>
      <w:r w:rsidR="00DD3FD1">
        <w:t>:</w:t>
      </w:r>
    </w:p>
    <w:p w14:paraId="4111AF8A" w14:textId="77777777" w:rsidR="00413E45" w:rsidRPr="007811C9" w:rsidRDefault="00413E45" w:rsidP="006B6D73">
      <w:pPr>
        <w:pStyle w:val="Tijeloteksta"/>
        <w:ind w:right="422" w:firstLine="709"/>
        <w:jc w:val="both"/>
      </w:pPr>
    </w:p>
    <w:tbl>
      <w:tblPr>
        <w:tblStyle w:val="TableNormal"/>
        <w:tblW w:w="9072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3827"/>
      </w:tblGrid>
      <w:tr w:rsidR="008558F3" w14:paraId="67DD4C30" w14:textId="77777777" w:rsidTr="00EF2F1C">
        <w:trPr>
          <w:trHeight w:val="535"/>
        </w:trPr>
        <w:tc>
          <w:tcPr>
            <w:tcW w:w="5245" w:type="dxa"/>
            <w:vAlign w:val="center"/>
          </w:tcPr>
          <w:p w14:paraId="463A9743" w14:textId="0CF696E0" w:rsidR="008558F3" w:rsidRDefault="008558F3" w:rsidP="00EF2F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Z</w:t>
            </w:r>
            <w:r w:rsidR="00213C9F">
              <w:rPr>
                <w:sz w:val="24"/>
              </w:rPr>
              <w:t>ona</w:t>
            </w:r>
          </w:p>
        </w:tc>
        <w:tc>
          <w:tcPr>
            <w:tcW w:w="3827" w:type="dxa"/>
            <w:vAlign w:val="center"/>
          </w:tcPr>
          <w:p w14:paraId="50C9C6D2" w14:textId="6C84BBD7" w:rsidR="008558F3" w:rsidRDefault="00213C9F" w:rsidP="00EF2F1C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Iznos poreza po</w:t>
            </w:r>
            <w:r w:rsidR="008558F3">
              <w:rPr>
                <w:spacing w:val="-3"/>
                <w:sz w:val="24"/>
              </w:rPr>
              <w:t xml:space="preserve"> </w:t>
            </w:r>
            <w:r w:rsidR="008558F3">
              <w:rPr>
                <w:sz w:val="24"/>
              </w:rPr>
              <w:t>m</w:t>
            </w:r>
            <w:r w:rsidR="008558F3" w:rsidRPr="000F5EB2">
              <w:rPr>
                <w:sz w:val="24"/>
                <w:vertAlign w:val="superscript"/>
              </w:rPr>
              <w:t>2</w:t>
            </w:r>
            <w:r w:rsidR="008558F3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dnevno u eurima</w:t>
            </w:r>
          </w:p>
        </w:tc>
      </w:tr>
      <w:tr w:rsidR="008558F3" w14:paraId="31CAB4E4" w14:textId="77777777" w:rsidTr="00EF2F1C">
        <w:trPr>
          <w:trHeight w:val="550"/>
        </w:trPr>
        <w:tc>
          <w:tcPr>
            <w:tcW w:w="5245" w:type="dxa"/>
          </w:tcPr>
          <w:p w14:paraId="3D1B7D90" w14:textId="77777777" w:rsidR="00360846" w:rsidRDefault="008558F3" w:rsidP="006B6D73">
            <w:pPr>
              <w:pStyle w:val="TableParagraph"/>
              <w:spacing w:line="240" w:lineRule="auto"/>
              <w:ind w:left="0" w:right="609"/>
              <w:jc w:val="both"/>
              <w:rPr>
                <w:spacing w:val="-57"/>
                <w:sz w:val="24"/>
              </w:rPr>
            </w:pPr>
            <w:r w:rsidRPr="00D24B3A">
              <w:rPr>
                <w:sz w:val="24"/>
              </w:rPr>
              <w:t>I</w:t>
            </w:r>
            <w:r w:rsidRPr="00D24B3A">
              <w:rPr>
                <w:spacing w:val="-5"/>
                <w:sz w:val="24"/>
              </w:rPr>
              <w:t xml:space="preserve"> </w:t>
            </w:r>
            <w:r w:rsidRPr="00D24B3A">
              <w:rPr>
                <w:sz w:val="24"/>
              </w:rPr>
              <w:t>-</w:t>
            </w:r>
            <w:r w:rsidRPr="00D24B3A">
              <w:rPr>
                <w:spacing w:val="-7"/>
                <w:sz w:val="24"/>
              </w:rPr>
              <w:t xml:space="preserve"> </w:t>
            </w:r>
            <w:r w:rsidRPr="00D24B3A">
              <w:rPr>
                <w:sz w:val="24"/>
              </w:rPr>
              <w:t>Decumanus,</w:t>
            </w:r>
            <w:r w:rsidRPr="00D24B3A">
              <w:rPr>
                <w:spacing w:val="-5"/>
                <w:sz w:val="24"/>
              </w:rPr>
              <w:t xml:space="preserve"> </w:t>
            </w:r>
            <w:r w:rsidRPr="00D24B3A">
              <w:rPr>
                <w:sz w:val="24"/>
              </w:rPr>
              <w:t>Trg</w:t>
            </w:r>
            <w:r w:rsidRPr="00D24B3A">
              <w:rPr>
                <w:spacing w:val="-9"/>
                <w:sz w:val="24"/>
              </w:rPr>
              <w:t xml:space="preserve"> </w:t>
            </w:r>
            <w:r w:rsidRPr="00D24B3A">
              <w:rPr>
                <w:sz w:val="24"/>
              </w:rPr>
              <w:t>Antona</w:t>
            </w:r>
            <w:r w:rsidRPr="00D24B3A">
              <w:rPr>
                <w:spacing w:val="-6"/>
                <w:sz w:val="24"/>
              </w:rPr>
              <w:t xml:space="preserve"> </w:t>
            </w:r>
            <w:r w:rsidRPr="00D24B3A">
              <w:rPr>
                <w:sz w:val="24"/>
              </w:rPr>
              <w:t>Grabara,</w:t>
            </w:r>
            <w:r w:rsidRPr="00D24B3A">
              <w:rPr>
                <w:spacing w:val="-5"/>
                <w:sz w:val="24"/>
              </w:rPr>
              <w:t xml:space="preserve"> </w:t>
            </w:r>
            <w:r w:rsidRPr="00D24B3A">
              <w:rPr>
                <w:sz w:val="24"/>
              </w:rPr>
              <w:t>Trg</w:t>
            </w:r>
            <w:r w:rsidRPr="00D24B3A">
              <w:rPr>
                <w:spacing w:val="-57"/>
                <w:sz w:val="24"/>
              </w:rPr>
              <w:t xml:space="preserve"> </w:t>
            </w:r>
            <w:r w:rsidR="00360846">
              <w:rPr>
                <w:spacing w:val="-57"/>
                <w:sz w:val="24"/>
              </w:rPr>
              <w:t xml:space="preserve">  </w:t>
            </w:r>
          </w:p>
          <w:p w14:paraId="2FC0CED7" w14:textId="3DA9FB53" w:rsidR="008558F3" w:rsidRDefault="008558F3" w:rsidP="006B6D73">
            <w:pPr>
              <w:pStyle w:val="TableParagraph"/>
              <w:spacing w:line="240" w:lineRule="auto"/>
              <w:ind w:left="0" w:right="609"/>
              <w:jc w:val="both"/>
              <w:rPr>
                <w:sz w:val="24"/>
              </w:rPr>
            </w:pPr>
            <w:r w:rsidRPr="00D24B3A">
              <w:rPr>
                <w:sz w:val="24"/>
              </w:rPr>
              <w:t>Matije</w:t>
            </w:r>
            <w:r w:rsidRPr="00D24B3A">
              <w:rPr>
                <w:spacing w:val="-1"/>
                <w:sz w:val="24"/>
              </w:rPr>
              <w:t xml:space="preserve"> </w:t>
            </w:r>
            <w:r w:rsidRPr="00D24B3A">
              <w:rPr>
                <w:sz w:val="24"/>
              </w:rPr>
              <w:t>Gubca, Trg</w:t>
            </w:r>
            <w:r w:rsidRPr="00D24B3A">
              <w:rPr>
                <w:spacing w:val="-7"/>
                <w:sz w:val="24"/>
              </w:rPr>
              <w:t xml:space="preserve"> </w:t>
            </w:r>
            <w:r w:rsidRPr="00D24B3A">
              <w:rPr>
                <w:sz w:val="24"/>
              </w:rPr>
              <w:t>slobode, Obala maršala</w:t>
            </w:r>
            <w:r w:rsidRPr="00D24B3A">
              <w:rPr>
                <w:spacing w:val="1"/>
                <w:sz w:val="24"/>
              </w:rPr>
              <w:t xml:space="preserve"> </w:t>
            </w:r>
            <w:r w:rsidRPr="00D24B3A">
              <w:rPr>
                <w:sz w:val="24"/>
              </w:rPr>
              <w:t>Tita, Narodni trg</w:t>
            </w:r>
          </w:p>
        </w:tc>
        <w:tc>
          <w:tcPr>
            <w:tcW w:w="3827" w:type="dxa"/>
            <w:vAlign w:val="center"/>
          </w:tcPr>
          <w:p w14:paraId="12CBDC2F" w14:textId="77777777" w:rsidR="008558F3" w:rsidRDefault="008558F3" w:rsidP="00EF2F1C">
            <w:pPr>
              <w:pStyle w:val="TableParagraph"/>
              <w:spacing w:line="240" w:lineRule="auto"/>
              <w:ind w:left="0" w:right="-38"/>
              <w:jc w:val="center"/>
              <w:rPr>
                <w:sz w:val="24"/>
              </w:rPr>
            </w:pPr>
            <w:r>
              <w:rPr>
                <w:sz w:val="24"/>
              </w:rPr>
              <w:t>1,59</w:t>
            </w:r>
          </w:p>
        </w:tc>
      </w:tr>
      <w:tr w:rsidR="008558F3" w14:paraId="343C5FBC" w14:textId="77777777" w:rsidTr="00EF2F1C">
        <w:trPr>
          <w:trHeight w:val="1132"/>
        </w:trPr>
        <w:tc>
          <w:tcPr>
            <w:tcW w:w="5245" w:type="dxa"/>
          </w:tcPr>
          <w:p w14:paraId="0006A37F" w14:textId="4E2874F6" w:rsidR="008558F3" w:rsidRDefault="008558F3" w:rsidP="00EF2F1C">
            <w:pPr>
              <w:pStyle w:val="TableParagraph"/>
              <w:spacing w:line="240" w:lineRule="auto"/>
              <w:ind w:left="0" w:right="132"/>
              <w:jc w:val="both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Nikole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Trga</w:t>
            </w:r>
            <w:r w:rsidR="00EF2F1C">
              <w:rPr>
                <w:sz w:val="24"/>
              </w:rPr>
              <w:t xml:space="preserve"> </w:t>
            </w:r>
            <w:r>
              <w:rPr>
                <w:sz w:val="24"/>
              </w:rPr>
              <w:t>slobode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prolaza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Peškera,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Bože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Milanovića</w:t>
            </w:r>
            <w:r w:rsidR="00297D57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od Trga sl</w:t>
            </w:r>
            <w:r w:rsidR="000420ED">
              <w:rPr>
                <w:sz w:val="24"/>
              </w:rPr>
              <w:t>obode do broja 3., Rade Končara</w:t>
            </w:r>
            <w:r>
              <w:rPr>
                <w:sz w:val="24"/>
              </w:rPr>
              <w:t xml:space="preserve"> od križanja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Obalom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maršala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 w:rsidR="000420ED">
              <w:rPr>
                <w:sz w:val="24"/>
              </w:rPr>
              <w:t>Tu</w:t>
            </w:r>
            <w:r>
              <w:rPr>
                <w:sz w:val="24"/>
              </w:rPr>
              <w:t>rističke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ulice</w:t>
            </w:r>
          </w:p>
        </w:tc>
        <w:tc>
          <w:tcPr>
            <w:tcW w:w="3827" w:type="dxa"/>
            <w:vAlign w:val="center"/>
          </w:tcPr>
          <w:p w14:paraId="19BAF457" w14:textId="77777777" w:rsidR="008558F3" w:rsidRDefault="008558F3" w:rsidP="00EF2F1C">
            <w:pPr>
              <w:pStyle w:val="TableParagraph"/>
              <w:spacing w:line="240" w:lineRule="auto"/>
              <w:ind w:left="0" w:right="-38"/>
              <w:jc w:val="center"/>
              <w:rPr>
                <w:sz w:val="24"/>
              </w:rPr>
            </w:pPr>
            <w:r>
              <w:rPr>
                <w:sz w:val="24"/>
              </w:rPr>
              <w:t>1,06</w:t>
            </w:r>
          </w:p>
        </w:tc>
      </w:tr>
      <w:tr w:rsidR="008558F3" w14:paraId="1C025DAF" w14:textId="77777777" w:rsidTr="00EF2F1C">
        <w:trPr>
          <w:trHeight w:val="2253"/>
        </w:trPr>
        <w:tc>
          <w:tcPr>
            <w:tcW w:w="5245" w:type="dxa"/>
          </w:tcPr>
          <w:p w14:paraId="05ACB5BF" w14:textId="566BA3B2" w:rsidR="008558F3" w:rsidRDefault="008558F3" w:rsidP="00EF2F1C">
            <w:pPr>
              <w:pStyle w:val="TableParagraph"/>
              <w:spacing w:line="240" w:lineRule="auto"/>
              <w:ind w:left="0" w:right="12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III - obuhvaća dio naselja Poreč omeđen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granicom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Uvale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Brulo,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raskrižjem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ulica Rade Končara i Vitomira Širola Paje,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Rade Končara, Istarskog razvoda, Trg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Joakima Rakovca, Prvomajska ulica, Mlinska</w:t>
            </w:r>
            <w:r w:rsidR="00B33E3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ulica, Ulica Nikole Tesle, Šetalište Antona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Restovića,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ulicom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Materada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lokalnom</w:t>
            </w:r>
            <w:r w:rsidR="00EF2F1C">
              <w:rPr>
                <w:sz w:val="24"/>
              </w:rPr>
              <w:t xml:space="preserve"> </w:t>
            </w:r>
            <w:r>
              <w:rPr>
                <w:sz w:val="24"/>
              </w:rPr>
              <w:t>cestom do Uvale Sveti Martin, osim područja</w:t>
            </w:r>
            <w:r w:rsidR="00B33E3C">
              <w:rPr>
                <w:sz w:val="24"/>
              </w:rPr>
              <w:t xml:space="preserve">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zone,</w:t>
            </w:r>
          </w:p>
        </w:tc>
        <w:tc>
          <w:tcPr>
            <w:tcW w:w="3827" w:type="dxa"/>
            <w:vAlign w:val="center"/>
          </w:tcPr>
          <w:p w14:paraId="4DC50FF7" w14:textId="77777777" w:rsidR="008558F3" w:rsidRDefault="008558F3" w:rsidP="00EF2F1C">
            <w:pPr>
              <w:pStyle w:val="TableParagraph"/>
              <w:spacing w:line="240" w:lineRule="auto"/>
              <w:ind w:left="0" w:right="-38"/>
              <w:jc w:val="center"/>
              <w:rPr>
                <w:sz w:val="24"/>
              </w:rPr>
            </w:pPr>
            <w:r>
              <w:rPr>
                <w:sz w:val="24"/>
              </w:rPr>
              <w:t>0,80</w:t>
            </w:r>
          </w:p>
        </w:tc>
      </w:tr>
      <w:tr w:rsidR="008558F3" w14:paraId="32ABB1F0" w14:textId="77777777" w:rsidTr="00EF2F1C">
        <w:trPr>
          <w:trHeight w:val="782"/>
        </w:trPr>
        <w:tc>
          <w:tcPr>
            <w:tcW w:w="5245" w:type="dxa"/>
          </w:tcPr>
          <w:p w14:paraId="21D0CC15" w14:textId="77777777" w:rsidR="008558F3" w:rsidRDefault="008558F3" w:rsidP="006B6D73">
            <w:pPr>
              <w:pStyle w:val="TableParagraph"/>
              <w:spacing w:line="240" w:lineRule="auto"/>
              <w:ind w:left="0" w:right="282"/>
              <w:jc w:val="both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obuhvaća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preostali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naselja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Poreč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granične crte III zone i ostala naselja 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području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Grada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Poreča-Parenzo</w:t>
            </w:r>
          </w:p>
        </w:tc>
        <w:tc>
          <w:tcPr>
            <w:tcW w:w="3827" w:type="dxa"/>
            <w:vAlign w:val="center"/>
          </w:tcPr>
          <w:p w14:paraId="6231FC5F" w14:textId="77777777" w:rsidR="008558F3" w:rsidRDefault="008558F3" w:rsidP="00EF2F1C">
            <w:pPr>
              <w:pStyle w:val="TableParagraph"/>
              <w:spacing w:line="240" w:lineRule="auto"/>
              <w:ind w:left="0" w:right="-38"/>
              <w:jc w:val="center"/>
              <w:rPr>
                <w:sz w:val="24"/>
              </w:rPr>
            </w:pPr>
            <w:r>
              <w:rPr>
                <w:sz w:val="24"/>
              </w:rPr>
              <w:t>0,33</w:t>
            </w:r>
          </w:p>
        </w:tc>
      </w:tr>
    </w:tbl>
    <w:p w14:paraId="22654F32" w14:textId="77777777" w:rsidR="008558F3" w:rsidRDefault="008558F3" w:rsidP="006B6D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D2852" w14:textId="6C4E34E8" w:rsidR="00751B33" w:rsidRPr="00AE1B21" w:rsidRDefault="00AE1B21" w:rsidP="00FC5E0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1B21">
        <w:rPr>
          <w:rFonts w:ascii="Times New Roman" w:hAnsi="Times New Roman" w:cs="Times New Roman"/>
          <w:sz w:val="24"/>
          <w:szCs w:val="24"/>
        </w:rPr>
        <w:t>Javne površine utvrđene za postavu ugostiteljskih terasa za razdoblje srpanj - kolovoz izdaju se za cijelo</w:t>
      </w:r>
      <w:r w:rsidRPr="00AE1B21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AE1B21">
        <w:rPr>
          <w:rFonts w:ascii="Times New Roman" w:hAnsi="Times New Roman" w:cs="Times New Roman"/>
          <w:sz w:val="24"/>
          <w:szCs w:val="24"/>
        </w:rPr>
        <w:t>razdoblje (u bloku), za utvrđenu veličinu javne površine Elaboratom ugostiteljskih terasa.</w:t>
      </w:r>
    </w:p>
    <w:p w14:paraId="5838278D" w14:textId="502B059F" w:rsidR="00AE1B21" w:rsidRPr="00AE1B21" w:rsidRDefault="00AE1B21" w:rsidP="00FC5E0D">
      <w:pPr>
        <w:pStyle w:val="Tijeloteksta"/>
        <w:ind w:firstLine="709"/>
        <w:jc w:val="both"/>
      </w:pPr>
      <w:r w:rsidRPr="00AE1B21">
        <w:t>Porez iz stavka 1. ovoga članka korisnik je dužan platiti:</w:t>
      </w:r>
    </w:p>
    <w:p w14:paraId="2FAF0362" w14:textId="3B2706DD" w:rsidR="00AE1B21" w:rsidRPr="00AE1B21" w:rsidRDefault="00AE1B21" w:rsidP="00FC5E0D">
      <w:pPr>
        <w:pStyle w:val="Odlomakpopisa"/>
        <w:widowControl w:val="0"/>
        <w:numPr>
          <w:ilvl w:val="0"/>
          <w:numId w:val="7"/>
        </w:numPr>
        <w:tabs>
          <w:tab w:val="left" w:pos="281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</w:rPr>
      </w:pPr>
      <w:r w:rsidRPr="00AE1B21">
        <w:rPr>
          <w:rFonts w:ascii="Times New Roman" w:hAnsi="Times New Roman" w:cs="Times New Roman"/>
          <w:sz w:val="24"/>
        </w:rPr>
        <w:t>za korištenje javne površine do 4 mjeseca po jednom zahtjevu, u roku 8 dana od dana pravomoćnosti</w:t>
      </w:r>
      <w:r w:rsidR="00213C9F">
        <w:rPr>
          <w:rFonts w:ascii="Times New Roman" w:hAnsi="Times New Roman" w:cs="Times New Roman"/>
          <w:sz w:val="24"/>
        </w:rPr>
        <w:t xml:space="preserve"> </w:t>
      </w:r>
      <w:r w:rsidRPr="00AE1B21">
        <w:rPr>
          <w:rFonts w:ascii="Times New Roman" w:hAnsi="Times New Roman" w:cs="Times New Roman"/>
          <w:spacing w:val="-57"/>
          <w:sz w:val="24"/>
        </w:rPr>
        <w:t xml:space="preserve"> </w:t>
      </w:r>
      <w:r w:rsidRPr="00AE1B21">
        <w:rPr>
          <w:rFonts w:ascii="Times New Roman" w:hAnsi="Times New Roman" w:cs="Times New Roman"/>
          <w:sz w:val="24"/>
        </w:rPr>
        <w:t>rješenja,</w:t>
      </w:r>
    </w:p>
    <w:p w14:paraId="68219B45" w14:textId="633F2B84" w:rsidR="00AE1B21" w:rsidRPr="00AE1B21" w:rsidRDefault="00AE1B21" w:rsidP="00FC5E0D">
      <w:pPr>
        <w:pStyle w:val="Odlomakpopisa"/>
        <w:widowControl w:val="0"/>
        <w:numPr>
          <w:ilvl w:val="0"/>
          <w:numId w:val="7"/>
        </w:numPr>
        <w:tabs>
          <w:tab w:val="left" w:pos="281"/>
        </w:tabs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</w:rPr>
      </w:pPr>
      <w:r w:rsidRPr="00AE1B21">
        <w:rPr>
          <w:rFonts w:ascii="Times New Roman" w:hAnsi="Times New Roman" w:cs="Times New Roman"/>
          <w:sz w:val="24"/>
        </w:rPr>
        <w:t>za korištenje javne površine od 4 do 12 mjeseci, u dva jednaka obroka, u roku 30 i 60 dana od dana</w:t>
      </w:r>
      <w:r w:rsidR="00213C9F">
        <w:rPr>
          <w:rFonts w:ascii="Times New Roman" w:hAnsi="Times New Roman" w:cs="Times New Roman"/>
          <w:sz w:val="24"/>
        </w:rPr>
        <w:t xml:space="preserve"> </w:t>
      </w:r>
      <w:r w:rsidRPr="00AE1B21">
        <w:rPr>
          <w:rFonts w:ascii="Times New Roman" w:hAnsi="Times New Roman" w:cs="Times New Roman"/>
          <w:spacing w:val="-57"/>
          <w:sz w:val="24"/>
        </w:rPr>
        <w:t xml:space="preserve"> </w:t>
      </w:r>
      <w:r w:rsidRPr="00AE1B21">
        <w:rPr>
          <w:rFonts w:ascii="Times New Roman" w:hAnsi="Times New Roman" w:cs="Times New Roman"/>
          <w:sz w:val="24"/>
        </w:rPr>
        <w:t>pravomoćnosti rješenja,</w:t>
      </w:r>
    </w:p>
    <w:p w14:paraId="1C036825" w14:textId="7805B602" w:rsidR="00AE1B21" w:rsidRPr="0016365C" w:rsidRDefault="00AE1B21" w:rsidP="00FC5E0D">
      <w:pPr>
        <w:pStyle w:val="Odlomakpopisa"/>
        <w:widowControl w:val="0"/>
        <w:numPr>
          <w:ilvl w:val="0"/>
          <w:numId w:val="7"/>
        </w:numPr>
        <w:tabs>
          <w:tab w:val="left" w:pos="281"/>
        </w:tabs>
        <w:autoSpaceDE w:val="0"/>
        <w:autoSpaceDN w:val="0"/>
        <w:spacing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</w:rPr>
      </w:pPr>
      <w:r w:rsidRPr="00AE1B21">
        <w:rPr>
          <w:rFonts w:ascii="Times New Roman" w:hAnsi="Times New Roman" w:cs="Times New Roman"/>
          <w:sz w:val="24"/>
        </w:rPr>
        <w:t xml:space="preserve">za korištenje javne površine tokom cijele kalendarske godine, prvi obrok </w:t>
      </w:r>
      <w:r w:rsidRPr="00460478">
        <w:rPr>
          <w:rFonts w:ascii="Times New Roman" w:hAnsi="Times New Roman" w:cs="Times New Roman"/>
          <w:sz w:val="24"/>
        </w:rPr>
        <w:t xml:space="preserve">u visini ¼ </w:t>
      </w:r>
      <w:r w:rsidR="00460478" w:rsidRPr="00460478">
        <w:rPr>
          <w:rFonts w:ascii="Times New Roman" w:hAnsi="Times New Roman" w:cs="Times New Roman"/>
          <w:sz w:val="24"/>
        </w:rPr>
        <w:t xml:space="preserve">(jedne četvrtine) </w:t>
      </w:r>
      <w:r w:rsidRPr="00460478">
        <w:rPr>
          <w:rFonts w:ascii="Times New Roman" w:hAnsi="Times New Roman" w:cs="Times New Roman"/>
          <w:sz w:val="24"/>
        </w:rPr>
        <w:t>ukupnog iznosa, u roku</w:t>
      </w:r>
      <w:r w:rsidR="00460478">
        <w:rPr>
          <w:rFonts w:ascii="Times New Roman" w:hAnsi="Times New Roman" w:cs="Times New Roman"/>
          <w:sz w:val="24"/>
        </w:rPr>
        <w:t xml:space="preserve"> </w:t>
      </w:r>
      <w:r w:rsidRPr="00460478">
        <w:rPr>
          <w:rFonts w:ascii="Times New Roman" w:hAnsi="Times New Roman" w:cs="Times New Roman"/>
          <w:spacing w:val="-57"/>
          <w:sz w:val="24"/>
        </w:rPr>
        <w:t xml:space="preserve"> </w:t>
      </w:r>
      <w:r w:rsidRPr="00460478">
        <w:rPr>
          <w:rFonts w:ascii="Times New Roman" w:hAnsi="Times New Roman" w:cs="Times New Roman"/>
          <w:sz w:val="24"/>
        </w:rPr>
        <w:t xml:space="preserve">15 dana od dana pravomoćnosti rješenja, a preostali iznos </w:t>
      </w:r>
      <w:r w:rsidRPr="00AE1B21">
        <w:rPr>
          <w:rFonts w:ascii="Times New Roman" w:hAnsi="Times New Roman" w:cs="Times New Roman"/>
          <w:sz w:val="24"/>
        </w:rPr>
        <w:t>u 3 jednaka tromjesečna obroka svaki sa</w:t>
      </w:r>
      <w:r w:rsidRPr="00AE1B21">
        <w:rPr>
          <w:rFonts w:ascii="Times New Roman" w:hAnsi="Times New Roman" w:cs="Times New Roman"/>
          <w:spacing w:val="1"/>
          <w:sz w:val="24"/>
        </w:rPr>
        <w:t xml:space="preserve"> </w:t>
      </w:r>
      <w:r w:rsidRPr="00AE1B21">
        <w:rPr>
          <w:rFonts w:ascii="Times New Roman" w:hAnsi="Times New Roman" w:cs="Times New Roman"/>
          <w:sz w:val="24"/>
        </w:rPr>
        <w:t>dospijećem plaćanja početkom tromjesečja odnosno 1. travnja</w:t>
      </w:r>
      <w:r w:rsidR="00213C9F">
        <w:rPr>
          <w:rFonts w:ascii="Times New Roman" w:hAnsi="Times New Roman" w:cs="Times New Roman"/>
          <w:sz w:val="24"/>
        </w:rPr>
        <w:t>,</w:t>
      </w:r>
      <w:r w:rsidRPr="00AE1B21">
        <w:rPr>
          <w:rFonts w:ascii="Times New Roman" w:hAnsi="Times New Roman" w:cs="Times New Roman"/>
          <w:sz w:val="24"/>
        </w:rPr>
        <w:t xml:space="preserve"> 1. srpnja i 1. listopada.</w:t>
      </w:r>
    </w:p>
    <w:p w14:paraId="49BF07D1" w14:textId="5E5399D6" w:rsidR="00AE1B21" w:rsidRPr="00AE1B21" w:rsidRDefault="00AE1B21" w:rsidP="00FC5E0D">
      <w:pPr>
        <w:pStyle w:val="Tijeloteksta"/>
        <w:spacing w:after="240"/>
        <w:ind w:firstLine="709"/>
        <w:jc w:val="both"/>
      </w:pPr>
      <w:r w:rsidRPr="00AE1B21">
        <w:t>Popust u visini od 10% obračunatog poreza ostvaruje korisnik koji javnu površinu - ugostiteljsku terasu</w:t>
      </w:r>
      <w:r w:rsidRPr="00AE1B21">
        <w:rPr>
          <w:spacing w:val="1"/>
        </w:rPr>
        <w:t xml:space="preserve"> </w:t>
      </w:r>
      <w:r w:rsidRPr="00AE1B21">
        <w:t>koristi</w:t>
      </w:r>
      <w:r w:rsidRPr="00AE1B21">
        <w:rPr>
          <w:spacing w:val="-1"/>
        </w:rPr>
        <w:t xml:space="preserve"> </w:t>
      </w:r>
      <w:r w:rsidRPr="00AE1B21">
        <w:t>neprekidno</w:t>
      </w:r>
      <w:r w:rsidRPr="00AE1B21">
        <w:rPr>
          <w:spacing w:val="-1"/>
        </w:rPr>
        <w:t xml:space="preserve"> </w:t>
      </w:r>
      <w:r w:rsidRPr="00AE1B21">
        <w:t>tijekom</w:t>
      </w:r>
      <w:r w:rsidRPr="00AE1B21">
        <w:rPr>
          <w:spacing w:val="-1"/>
        </w:rPr>
        <w:t xml:space="preserve"> </w:t>
      </w:r>
      <w:r w:rsidRPr="00AE1B21">
        <w:t>cijele</w:t>
      </w:r>
      <w:r w:rsidRPr="00AE1B21">
        <w:rPr>
          <w:spacing w:val="-1"/>
        </w:rPr>
        <w:t xml:space="preserve"> </w:t>
      </w:r>
      <w:r w:rsidRPr="00AE1B21">
        <w:t>godine,</w:t>
      </w:r>
      <w:r w:rsidRPr="00AE1B21">
        <w:rPr>
          <w:spacing w:val="-1"/>
        </w:rPr>
        <w:t xml:space="preserve"> </w:t>
      </w:r>
      <w:r w:rsidRPr="00AE1B21">
        <w:t>a</w:t>
      </w:r>
      <w:r w:rsidRPr="00AE1B21">
        <w:rPr>
          <w:spacing w:val="-1"/>
        </w:rPr>
        <w:t xml:space="preserve"> </w:t>
      </w:r>
      <w:r w:rsidRPr="00AE1B21">
        <w:t>obračunati porez</w:t>
      </w:r>
      <w:r w:rsidRPr="00AE1B21">
        <w:rPr>
          <w:spacing w:val="-1"/>
        </w:rPr>
        <w:t xml:space="preserve"> </w:t>
      </w:r>
      <w:r w:rsidRPr="00AE1B21">
        <w:t>uplati</w:t>
      </w:r>
      <w:r w:rsidRPr="00AE1B21">
        <w:rPr>
          <w:spacing w:val="-1"/>
        </w:rPr>
        <w:t xml:space="preserve"> </w:t>
      </w:r>
      <w:r w:rsidRPr="00D24B3A">
        <w:t>najkasnije</w:t>
      </w:r>
      <w:r w:rsidRPr="00D24B3A">
        <w:rPr>
          <w:spacing w:val="-1"/>
        </w:rPr>
        <w:t xml:space="preserve"> </w:t>
      </w:r>
      <w:r w:rsidRPr="00D24B3A">
        <w:t>do</w:t>
      </w:r>
      <w:r w:rsidRPr="00D24B3A">
        <w:rPr>
          <w:spacing w:val="-1"/>
        </w:rPr>
        <w:t xml:space="preserve"> </w:t>
      </w:r>
      <w:r w:rsidRPr="00D24B3A">
        <w:t>3</w:t>
      </w:r>
      <w:r w:rsidR="007F55C5" w:rsidRPr="00D24B3A">
        <w:t>1</w:t>
      </w:r>
      <w:r w:rsidRPr="00D24B3A">
        <w:t>.</w:t>
      </w:r>
      <w:r w:rsidRPr="00D24B3A">
        <w:rPr>
          <w:spacing w:val="-1"/>
        </w:rPr>
        <w:t xml:space="preserve"> </w:t>
      </w:r>
      <w:r w:rsidRPr="00D24B3A">
        <w:t>siječnja</w:t>
      </w:r>
      <w:r w:rsidRPr="00D24B3A">
        <w:rPr>
          <w:spacing w:val="-1"/>
        </w:rPr>
        <w:t xml:space="preserve"> </w:t>
      </w:r>
      <w:r w:rsidRPr="00D24B3A">
        <w:t xml:space="preserve">tekuće </w:t>
      </w:r>
      <w:r w:rsidRPr="00AE1B21">
        <w:t>godine.</w:t>
      </w:r>
    </w:p>
    <w:p w14:paraId="6394B89F" w14:textId="484191BD" w:rsidR="00AE1B21" w:rsidRPr="0016365C" w:rsidRDefault="00AE1B21" w:rsidP="00FC5E0D">
      <w:pPr>
        <w:pStyle w:val="Tijeloteksta"/>
        <w:spacing w:after="240"/>
        <w:ind w:firstLine="709"/>
        <w:jc w:val="both"/>
      </w:pPr>
      <w:r w:rsidRPr="00AE1B21">
        <w:t>Porez na korištenje javne površine, prema stavku 1. ovoga članka, za razdoblje mjeseca svibnja, lipnja i rujna</w:t>
      </w:r>
      <w:r w:rsidR="007F55C5">
        <w:t xml:space="preserve"> </w:t>
      </w:r>
      <w:r w:rsidRPr="00AE1B21">
        <w:rPr>
          <w:spacing w:val="-57"/>
        </w:rPr>
        <w:t xml:space="preserve"> </w:t>
      </w:r>
      <w:r w:rsidRPr="00AE1B21">
        <w:t>plaća se u visini od 60%, za razdoblje travnja i listopada u visini od 20% od utvrđenog početnog iznosa</w:t>
      </w:r>
      <w:r w:rsidRPr="00AE1B21">
        <w:rPr>
          <w:spacing w:val="1"/>
        </w:rPr>
        <w:t xml:space="preserve"> </w:t>
      </w:r>
      <w:r w:rsidRPr="00AE1B21">
        <w:t>poreza po m</w:t>
      </w:r>
      <w:r w:rsidRPr="00A26D1E">
        <w:rPr>
          <w:vertAlign w:val="superscript"/>
        </w:rPr>
        <w:t>2</w:t>
      </w:r>
      <w:r w:rsidRPr="00AE1B21">
        <w:t xml:space="preserve"> dnevno, dok se za razdoblje siječnja, veljače, ožujka, studenog i prosinca ne plaća porez na</w:t>
      </w:r>
      <w:r w:rsidRPr="00AE1B21">
        <w:rPr>
          <w:spacing w:val="1"/>
        </w:rPr>
        <w:t xml:space="preserve"> </w:t>
      </w:r>
      <w:r w:rsidRPr="00AE1B21">
        <w:t>korištenje javne površine, odnosno postavu ugostiteljske terase.</w:t>
      </w:r>
    </w:p>
    <w:p w14:paraId="43F42E78" w14:textId="3C2BEA75" w:rsidR="00FC5E0D" w:rsidRDefault="00AE1B21" w:rsidP="009D29EF">
      <w:pPr>
        <w:pStyle w:val="Tijeloteksta"/>
        <w:ind w:firstLine="709"/>
        <w:jc w:val="both"/>
      </w:pPr>
      <w:r w:rsidRPr="00AE1B21">
        <w:t>Nakon proteka korištenja javne površine za postavu ugostiteljske terase, odnosno nakon zatvaranja objekta,</w:t>
      </w:r>
      <w:r w:rsidRPr="00AE1B21">
        <w:rPr>
          <w:spacing w:val="-57"/>
        </w:rPr>
        <w:t xml:space="preserve"> </w:t>
      </w:r>
      <w:r w:rsidR="00360846">
        <w:rPr>
          <w:spacing w:val="-57"/>
        </w:rPr>
        <w:t xml:space="preserve">    </w:t>
      </w:r>
      <w:r w:rsidRPr="00AE1B21">
        <w:t>korisnik je dužan osloboditi javnu površinu u roku od 48 sati od prestanka korištenja.</w:t>
      </w:r>
    </w:p>
    <w:p w14:paraId="7BCE5F95" w14:textId="77777777" w:rsidR="009D29EF" w:rsidRPr="009D29EF" w:rsidRDefault="009D29EF" w:rsidP="009D29EF">
      <w:pPr>
        <w:pStyle w:val="Tijeloteksta"/>
        <w:ind w:firstLine="709"/>
        <w:jc w:val="both"/>
        <w:rPr>
          <w:spacing w:val="-57"/>
        </w:rPr>
      </w:pPr>
    </w:p>
    <w:p w14:paraId="772248E6" w14:textId="3735CDD1" w:rsidR="00020AD5" w:rsidRDefault="00FC5E0D" w:rsidP="009D2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="00020AD5">
        <w:rPr>
          <w:rFonts w:ascii="Times New Roman" w:hAnsi="Times New Roman" w:cs="Times New Roman"/>
          <w:b/>
          <w:bCs/>
          <w:sz w:val="24"/>
          <w:szCs w:val="24"/>
        </w:rPr>
        <w:t>lanak 1</w:t>
      </w:r>
      <w:r w:rsidR="0016365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20A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C2167A2" w14:textId="262599FA" w:rsidR="00020AD5" w:rsidRPr="009D29EF" w:rsidRDefault="00020AD5" w:rsidP="006B6D73">
      <w:pPr>
        <w:pStyle w:val="Tijeloteksta"/>
        <w:jc w:val="both"/>
        <w:rPr>
          <w:b/>
          <w:bCs/>
        </w:rPr>
      </w:pPr>
      <w:r w:rsidRPr="00554463">
        <w:rPr>
          <w:b/>
          <w:bCs/>
        </w:rPr>
        <w:t>Korištenje javne površine za ostale namjene</w:t>
      </w:r>
    </w:p>
    <w:p w14:paraId="18916CF9" w14:textId="0E245BCC" w:rsidR="00020AD5" w:rsidRPr="00020AD5" w:rsidRDefault="00020AD5" w:rsidP="00EF2F1C">
      <w:pPr>
        <w:pStyle w:val="Tijeloteksta"/>
        <w:ind w:right="-2" w:firstLine="709"/>
        <w:jc w:val="both"/>
      </w:pPr>
      <w:r w:rsidRPr="00020AD5">
        <w:t>Porez za korištenje javne površine za namjene navedene u odredbama ovoga članka utvrđuje se u iznosu</w:t>
      </w:r>
      <w:r w:rsidR="00460478">
        <w:t xml:space="preserve"> </w:t>
      </w:r>
      <w:r w:rsidRPr="00020AD5">
        <w:rPr>
          <w:spacing w:val="-57"/>
        </w:rPr>
        <w:t xml:space="preserve"> </w:t>
      </w:r>
      <w:r w:rsidRPr="00020AD5">
        <w:t>kako slijedi:</w:t>
      </w:r>
    </w:p>
    <w:p w14:paraId="1E0E4C00" w14:textId="77777777" w:rsidR="00020AD5" w:rsidRPr="00020AD5" w:rsidRDefault="00020AD5" w:rsidP="006B6D73">
      <w:pPr>
        <w:pStyle w:val="Odlomakpopisa"/>
        <w:widowControl w:val="0"/>
        <w:numPr>
          <w:ilvl w:val="0"/>
          <w:numId w:val="10"/>
        </w:numPr>
        <w:tabs>
          <w:tab w:val="left" w:pos="381"/>
        </w:tabs>
        <w:autoSpaceDE w:val="0"/>
        <w:autoSpaceDN w:val="0"/>
        <w:spacing w:after="0" w:line="240" w:lineRule="auto"/>
        <w:ind w:left="0" w:right="-2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020AD5">
        <w:rPr>
          <w:rFonts w:ascii="Times New Roman" w:hAnsi="Times New Roman" w:cs="Times New Roman"/>
          <w:sz w:val="24"/>
        </w:rPr>
        <w:t>za odlaganje građevinskog materijala i postavljanje skela 0,27 eura po m</w:t>
      </w:r>
      <w:r w:rsidRPr="00413E45">
        <w:rPr>
          <w:rFonts w:ascii="Times New Roman" w:hAnsi="Times New Roman" w:cs="Times New Roman"/>
          <w:sz w:val="24"/>
          <w:vertAlign w:val="superscript"/>
        </w:rPr>
        <w:t>2</w:t>
      </w:r>
      <w:r w:rsidRPr="00020AD5">
        <w:rPr>
          <w:rFonts w:ascii="Times New Roman" w:hAnsi="Times New Roman" w:cs="Times New Roman"/>
          <w:sz w:val="24"/>
        </w:rPr>
        <w:t xml:space="preserve"> na dan,</w:t>
      </w:r>
    </w:p>
    <w:p w14:paraId="258650AD" w14:textId="77777777" w:rsidR="00020AD5" w:rsidRPr="00020AD5" w:rsidRDefault="00020AD5" w:rsidP="006B6D73">
      <w:pPr>
        <w:pStyle w:val="Odlomakpopisa"/>
        <w:widowControl w:val="0"/>
        <w:numPr>
          <w:ilvl w:val="0"/>
          <w:numId w:val="10"/>
        </w:numPr>
        <w:tabs>
          <w:tab w:val="left" w:pos="381"/>
        </w:tabs>
        <w:autoSpaceDE w:val="0"/>
        <w:autoSpaceDN w:val="0"/>
        <w:spacing w:after="0" w:line="240" w:lineRule="auto"/>
        <w:ind w:left="0" w:right="-2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020AD5">
        <w:rPr>
          <w:rFonts w:ascii="Times New Roman" w:hAnsi="Times New Roman" w:cs="Times New Roman"/>
          <w:sz w:val="24"/>
        </w:rPr>
        <w:t>za postavljanje transparenata 13,27 eura na dan,</w:t>
      </w:r>
    </w:p>
    <w:p w14:paraId="2CD1CAED" w14:textId="77777777" w:rsidR="00020AD5" w:rsidRPr="00020AD5" w:rsidRDefault="00020AD5" w:rsidP="007F55C5">
      <w:pPr>
        <w:pStyle w:val="Odlomakpopisa"/>
        <w:widowControl w:val="0"/>
        <w:numPr>
          <w:ilvl w:val="0"/>
          <w:numId w:val="10"/>
        </w:numPr>
        <w:tabs>
          <w:tab w:val="left" w:pos="381"/>
        </w:tabs>
        <w:autoSpaceDE w:val="0"/>
        <w:autoSpaceDN w:val="0"/>
        <w:spacing w:after="0" w:line="240" w:lineRule="auto"/>
        <w:ind w:left="426" w:right="-2" w:hanging="426"/>
        <w:contextualSpacing w:val="0"/>
        <w:jc w:val="both"/>
        <w:rPr>
          <w:rFonts w:ascii="Times New Roman" w:hAnsi="Times New Roman" w:cs="Times New Roman"/>
          <w:sz w:val="24"/>
        </w:rPr>
      </w:pPr>
      <w:r w:rsidRPr="00020AD5">
        <w:rPr>
          <w:rFonts w:ascii="Times New Roman" w:hAnsi="Times New Roman" w:cs="Times New Roman"/>
          <w:sz w:val="24"/>
        </w:rPr>
        <w:t>za postavljanje slobodno stojećih, jednostranih ili dvostranih reklamnih panoa do 2 m</w:t>
      </w:r>
      <w:r w:rsidRPr="00413E45">
        <w:rPr>
          <w:rFonts w:ascii="Times New Roman" w:hAnsi="Times New Roman" w:cs="Times New Roman"/>
          <w:sz w:val="24"/>
          <w:vertAlign w:val="superscript"/>
        </w:rPr>
        <w:t>2</w:t>
      </w:r>
      <w:r w:rsidRPr="00020AD5">
        <w:rPr>
          <w:rFonts w:ascii="Times New Roman" w:hAnsi="Times New Roman" w:cs="Times New Roman"/>
          <w:sz w:val="24"/>
        </w:rPr>
        <w:t xml:space="preserve"> 1,33 eura na dan,</w:t>
      </w:r>
    </w:p>
    <w:p w14:paraId="0762A3EB" w14:textId="77777777" w:rsidR="00020AD5" w:rsidRPr="00020AD5" w:rsidRDefault="00020AD5" w:rsidP="006B6D73">
      <w:pPr>
        <w:pStyle w:val="Odlomakpopisa"/>
        <w:widowControl w:val="0"/>
        <w:numPr>
          <w:ilvl w:val="0"/>
          <w:numId w:val="10"/>
        </w:numPr>
        <w:tabs>
          <w:tab w:val="left" w:pos="381"/>
        </w:tabs>
        <w:autoSpaceDE w:val="0"/>
        <w:autoSpaceDN w:val="0"/>
        <w:spacing w:after="0" w:line="240" w:lineRule="auto"/>
        <w:ind w:left="0" w:right="-2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020AD5">
        <w:rPr>
          <w:rFonts w:ascii="Times New Roman" w:hAnsi="Times New Roman" w:cs="Times New Roman"/>
          <w:sz w:val="24"/>
        </w:rPr>
        <w:t>za postavljanje reklamnih tabli po komadu godišnje:</w:t>
      </w:r>
    </w:p>
    <w:p w14:paraId="6E371C3A" w14:textId="77777777" w:rsidR="00020AD5" w:rsidRPr="00020AD5" w:rsidRDefault="00020AD5" w:rsidP="006B6D73">
      <w:pPr>
        <w:pStyle w:val="Odlomakpopisa"/>
        <w:widowControl w:val="0"/>
        <w:numPr>
          <w:ilvl w:val="0"/>
          <w:numId w:val="11"/>
        </w:numPr>
        <w:tabs>
          <w:tab w:val="left" w:pos="387"/>
        </w:tabs>
        <w:autoSpaceDE w:val="0"/>
        <w:autoSpaceDN w:val="0"/>
        <w:spacing w:after="0" w:line="240" w:lineRule="auto"/>
        <w:ind w:right="-2"/>
        <w:contextualSpacing w:val="0"/>
        <w:jc w:val="both"/>
        <w:rPr>
          <w:rFonts w:ascii="Times New Roman" w:hAnsi="Times New Roman" w:cs="Times New Roman"/>
          <w:sz w:val="24"/>
        </w:rPr>
      </w:pPr>
      <w:r w:rsidRPr="00020AD5">
        <w:rPr>
          <w:rFonts w:ascii="Times New Roman" w:hAnsi="Times New Roman" w:cs="Times New Roman"/>
          <w:sz w:val="24"/>
        </w:rPr>
        <w:t>do 1 m</w:t>
      </w:r>
      <w:r w:rsidRPr="00447F6C">
        <w:rPr>
          <w:rFonts w:ascii="Times New Roman" w:hAnsi="Times New Roman" w:cs="Times New Roman"/>
          <w:sz w:val="24"/>
          <w:vertAlign w:val="superscript"/>
        </w:rPr>
        <w:t>2</w:t>
      </w:r>
      <w:r w:rsidRPr="00020AD5">
        <w:rPr>
          <w:rFonts w:ascii="Times New Roman" w:hAnsi="Times New Roman" w:cs="Times New Roman"/>
          <w:sz w:val="24"/>
        </w:rPr>
        <w:t xml:space="preserve"> 79,63 eura,</w:t>
      </w:r>
    </w:p>
    <w:p w14:paraId="5342BD34" w14:textId="77777777" w:rsidR="00020AD5" w:rsidRPr="00020AD5" w:rsidRDefault="00020AD5" w:rsidP="006B6D73">
      <w:pPr>
        <w:pStyle w:val="Odlomakpopisa"/>
        <w:widowControl w:val="0"/>
        <w:numPr>
          <w:ilvl w:val="0"/>
          <w:numId w:val="11"/>
        </w:numPr>
        <w:tabs>
          <w:tab w:val="left" w:pos="401"/>
        </w:tabs>
        <w:autoSpaceDE w:val="0"/>
        <w:autoSpaceDN w:val="0"/>
        <w:spacing w:after="0" w:line="240" w:lineRule="auto"/>
        <w:ind w:right="-2"/>
        <w:contextualSpacing w:val="0"/>
        <w:jc w:val="both"/>
        <w:rPr>
          <w:rFonts w:ascii="Times New Roman" w:hAnsi="Times New Roman" w:cs="Times New Roman"/>
          <w:sz w:val="24"/>
        </w:rPr>
      </w:pPr>
      <w:r w:rsidRPr="00020AD5">
        <w:rPr>
          <w:rFonts w:ascii="Times New Roman" w:hAnsi="Times New Roman" w:cs="Times New Roman"/>
          <w:sz w:val="24"/>
        </w:rPr>
        <w:t>od 1 do 2 m</w:t>
      </w:r>
      <w:r w:rsidRPr="00447F6C">
        <w:rPr>
          <w:rFonts w:ascii="Times New Roman" w:hAnsi="Times New Roman" w:cs="Times New Roman"/>
          <w:sz w:val="24"/>
          <w:vertAlign w:val="superscript"/>
        </w:rPr>
        <w:t>2</w:t>
      </w:r>
      <w:r w:rsidRPr="00020AD5">
        <w:rPr>
          <w:rFonts w:ascii="Times New Roman" w:hAnsi="Times New Roman" w:cs="Times New Roman"/>
          <w:sz w:val="24"/>
        </w:rPr>
        <w:t xml:space="preserve"> 119,45 eura,</w:t>
      </w:r>
    </w:p>
    <w:p w14:paraId="42614F87" w14:textId="48456BE3" w:rsidR="00020AD5" w:rsidRPr="00020AD5" w:rsidRDefault="00020AD5" w:rsidP="006B6D73">
      <w:pPr>
        <w:pStyle w:val="Tijeloteksta"/>
        <w:numPr>
          <w:ilvl w:val="0"/>
          <w:numId w:val="11"/>
        </w:numPr>
        <w:ind w:right="-2"/>
        <w:jc w:val="both"/>
      </w:pPr>
      <w:r w:rsidRPr="00020AD5">
        <w:lastRenderedPageBreak/>
        <w:t>od 2 do 4 m</w:t>
      </w:r>
      <w:r w:rsidRPr="00447F6C">
        <w:rPr>
          <w:vertAlign w:val="superscript"/>
        </w:rPr>
        <w:t>2</w:t>
      </w:r>
      <w:r w:rsidRPr="00020AD5">
        <w:t xml:space="preserve"> 159,27 eura,</w:t>
      </w:r>
    </w:p>
    <w:p w14:paraId="2A34CD81" w14:textId="2A48C4A6" w:rsidR="00020AD5" w:rsidRPr="00020AD5" w:rsidRDefault="00020AD5" w:rsidP="006B6D73">
      <w:pPr>
        <w:pStyle w:val="Tijeloteksta"/>
        <w:numPr>
          <w:ilvl w:val="0"/>
          <w:numId w:val="11"/>
        </w:numPr>
        <w:ind w:right="-2"/>
        <w:jc w:val="both"/>
      </w:pPr>
      <w:r w:rsidRPr="00020AD5">
        <w:t>od 4 do 6 m</w:t>
      </w:r>
      <w:r w:rsidRPr="00447F6C">
        <w:rPr>
          <w:vertAlign w:val="superscript"/>
        </w:rPr>
        <w:t>2</w:t>
      </w:r>
      <w:r w:rsidRPr="00020AD5">
        <w:t xml:space="preserve"> 265,45 eura,</w:t>
      </w:r>
    </w:p>
    <w:p w14:paraId="46BC9113" w14:textId="44ACDE55" w:rsidR="00020AD5" w:rsidRPr="00020AD5" w:rsidRDefault="00020AD5" w:rsidP="006B6D73">
      <w:pPr>
        <w:pStyle w:val="Tijeloteksta"/>
        <w:numPr>
          <w:ilvl w:val="0"/>
          <w:numId w:val="11"/>
        </w:numPr>
        <w:ind w:right="-2"/>
        <w:jc w:val="both"/>
      </w:pPr>
      <w:r w:rsidRPr="00020AD5">
        <w:t>za postavu dvostranog reklamnog panoa 318,53 eura.</w:t>
      </w:r>
    </w:p>
    <w:p w14:paraId="7AF06436" w14:textId="690DB36F" w:rsidR="00EF2F1C" w:rsidRPr="003E390E" w:rsidRDefault="00EF2F1C" w:rsidP="00EF2F1C">
      <w:pPr>
        <w:pStyle w:val="Odlomakpopisa"/>
        <w:widowControl w:val="0"/>
        <w:numPr>
          <w:ilvl w:val="0"/>
          <w:numId w:val="10"/>
        </w:numPr>
        <w:tabs>
          <w:tab w:val="left" w:pos="381"/>
        </w:tabs>
        <w:autoSpaceDE w:val="0"/>
        <w:autoSpaceDN w:val="0"/>
        <w:spacing w:after="0" w:line="240" w:lineRule="auto"/>
        <w:ind w:right="-2" w:hanging="380"/>
        <w:jc w:val="both"/>
        <w:rPr>
          <w:rFonts w:ascii="Times New Roman" w:hAnsi="Times New Roman" w:cs="Times New Roman"/>
          <w:sz w:val="24"/>
        </w:rPr>
      </w:pPr>
      <w:r w:rsidRPr="00B06D26">
        <w:rPr>
          <w:rFonts w:ascii="Times New Roman" w:hAnsi="Times New Roman" w:cs="Times New Roman"/>
          <w:sz w:val="24"/>
        </w:rPr>
        <w:t>za postavljanje mega panoa - preko 6 m</w:t>
      </w:r>
      <w:r w:rsidRPr="00B06D26">
        <w:rPr>
          <w:rFonts w:ascii="Times New Roman" w:hAnsi="Times New Roman" w:cs="Times New Roman"/>
          <w:sz w:val="24"/>
          <w:vertAlign w:val="superscript"/>
        </w:rPr>
        <w:t>2</w:t>
      </w:r>
      <w:r w:rsidR="008F146D">
        <w:rPr>
          <w:rFonts w:ascii="Times New Roman" w:hAnsi="Times New Roman" w:cs="Times New Roman"/>
          <w:sz w:val="24"/>
        </w:rPr>
        <w:t xml:space="preserve"> 398,17 eura </w:t>
      </w:r>
      <w:r w:rsidR="008F146D" w:rsidRPr="003E390E">
        <w:rPr>
          <w:rFonts w:ascii="Times New Roman" w:hAnsi="Times New Roman" w:cs="Times New Roman"/>
          <w:sz w:val="24"/>
        </w:rPr>
        <w:t>godišnje</w:t>
      </w:r>
    </w:p>
    <w:p w14:paraId="73415BEF" w14:textId="1DE600FA" w:rsidR="00EF2F1C" w:rsidRPr="003E390E" w:rsidRDefault="00EF2F1C" w:rsidP="00EF2F1C">
      <w:pPr>
        <w:pStyle w:val="Odlomakpopisa"/>
        <w:widowControl w:val="0"/>
        <w:numPr>
          <w:ilvl w:val="0"/>
          <w:numId w:val="10"/>
        </w:numPr>
        <w:tabs>
          <w:tab w:val="left" w:pos="381"/>
        </w:tabs>
        <w:autoSpaceDE w:val="0"/>
        <w:autoSpaceDN w:val="0"/>
        <w:spacing w:after="0" w:line="240" w:lineRule="auto"/>
        <w:ind w:right="-2" w:hanging="380"/>
        <w:jc w:val="both"/>
        <w:rPr>
          <w:rFonts w:ascii="Times New Roman" w:hAnsi="Times New Roman" w:cs="Times New Roman"/>
          <w:sz w:val="24"/>
        </w:rPr>
      </w:pPr>
      <w:r w:rsidRPr="00B06D26">
        <w:rPr>
          <w:rFonts w:ascii="Times New Roman" w:hAnsi="Times New Roman" w:cs="Times New Roman"/>
          <w:sz w:val="24"/>
        </w:rPr>
        <w:t>za korištenje stupova javne rasvjete za postavu reklamnih tabli veličine do 1 m</w:t>
      </w:r>
      <w:r w:rsidRPr="00B06D26">
        <w:rPr>
          <w:rFonts w:ascii="Times New Roman" w:hAnsi="Times New Roman" w:cs="Times New Roman"/>
          <w:sz w:val="24"/>
          <w:vertAlign w:val="superscript"/>
        </w:rPr>
        <w:t>2</w:t>
      </w:r>
      <w:r w:rsidR="008F146D">
        <w:rPr>
          <w:rFonts w:ascii="Times New Roman" w:hAnsi="Times New Roman" w:cs="Times New Roman"/>
          <w:sz w:val="24"/>
        </w:rPr>
        <w:t xml:space="preserve"> i 10 kg težine 79,63 eura </w:t>
      </w:r>
      <w:r w:rsidR="008F146D" w:rsidRPr="003E390E">
        <w:rPr>
          <w:rFonts w:ascii="Times New Roman" w:hAnsi="Times New Roman" w:cs="Times New Roman"/>
          <w:sz w:val="24"/>
        </w:rPr>
        <w:t>godišnje</w:t>
      </w:r>
    </w:p>
    <w:p w14:paraId="603684E1" w14:textId="77777777" w:rsidR="00020AD5" w:rsidRPr="00020AD5" w:rsidRDefault="00020AD5" w:rsidP="006B6D73">
      <w:pPr>
        <w:pStyle w:val="Odlomakpopisa"/>
        <w:widowControl w:val="0"/>
        <w:numPr>
          <w:ilvl w:val="0"/>
          <w:numId w:val="10"/>
        </w:numPr>
        <w:tabs>
          <w:tab w:val="left" w:pos="381"/>
        </w:tabs>
        <w:autoSpaceDE w:val="0"/>
        <w:autoSpaceDN w:val="0"/>
        <w:spacing w:after="0" w:line="240" w:lineRule="auto"/>
        <w:ind w:left="0" w:right="-2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020AD5">
        <w:rPr>
          <w:rFonts w:ascii="Times New Roman" w:hAnsi="Times New Roman" w:cs="Times New Roman"/>
          <w:sz w:val="24"/>
        </w:rPr>
        <w:t>za zvučno oglašavanje 13,27 eura na sat,</w:t>
      </w:r>
    </w:p>
    <w:p w14:paraId="26949337" w14:textId="1B31DCA1" w:rsidR="00020AD5" w:rsidRPr="00020AD5" w:rsidRDefault="00020AD5" w:rsidP="00447F6C">
      <w:pPr>
        <w:pStyle w:val="Odlomakpopisa"/>
        <w:widowControl w:val="0"/>
        <w:numPr>
          <w:ilvl w:val="0"/>
          <w:numId w:val="10"/>
        </w:numPr>
        <w:tabs>
          <w:tab w:val="left" w:pos="381"/>
        </w:tabs>
        <w:autoSpaceDE w:val="0"/>
        <w:autoSpaceDN w:val="0"/>
        <w:spacing w:after="0" w:line="240" w:lineRule="auto"/>
        <w:ind w:left="426" w:right="-2" w:hanging="426"/>
        <w:contextualSpacing w:val="0"/>
        <w:jc w:val="both"/>
        <w:rPr>
          <w:rFonts w:ascii="Times New Roman" w:hAnsi="Times New Roman" w:cs="Times New Roman"/>
          <w:sz w:val="24"/>
        </w:rPr>
      </w:pPr>
      <w:r w:rsidRPr="00020AD5">
        <w:rPr>
          <w:rFonts w:ascii="Times New Roman" w:hAnsi="Times New Roman" w:cs="Times New Roman"/>
          <w:sz w:val="24"/>
        </w:rPr>
        <w:t>za promotivno-prodajne aktivnosti profitabilnog karaktera na površini do 10 m</w:t>
      </w:r>
      <w:r w:rsidRPr="00413E45">
        <w:rPr>
          <w:rFonts w:ascii="Times New Roman" w:hAnsi="Times New Roman" w:cs="Times New Roman"/>
          <w:sz w:val="24"/>
          <w:vertAlign w:val="superscript"/>
        </w:rPr>
        <w:t>2</w:t>
      </w:r>
      <w:r w:rsidR="006454EE">
        <w:rPr>
          <w:rFonts w:ascii="Times New Roman" w:hAnsi="Times New Roman" w:cs="Times New Roman"/>
          <w:sz w:val="24"/>
        </w:rPr>
        <w:t xml:space="preserve"> </w:t>
      </w:r>
      <w:r w:rsidRPr="00020AD5">
        <w:rPr>
          <w:rFonts w:ascii="Times New Roman" w:hAnsi="Times New Roman" w:cs="Times New Roman"/>
          <w:sz w:val="24"/>
        </w:rPr>
        <w:t>66,36 eura na dan, a za</w:t>
      </w:r>
      <w:r w:rsidRPr="00020AD5">
        <w:rPr>
          <w:rFonts w:ascii="Times New Roman" w:hAnsi="Times New Roman" w:cs="Times New Roman"/>
          <w:spacing w:val="-57"/>
          <w:sz w:val="24"/>
        </w:rPr>
        <w:t xml:space="preserve"> </w:t>
      </w:r>
      <w:r w:rsidRPr="00020AD5">
        <w:rPr>
          <w:rFonts w:ascii="Times New Roman" w:hAnsi="Times New Roman" w:cs="Times New Roman"/>
          <w:sz w:val="24"/>
        </w:rPr>
        <w:t>svaki daljnji m</w:t>
      </w:r>
      <w:r w:rsidRPr="00413E45">
        <w:rPr>
          <w:rFonts w:ascii="Times New Roman" w:hAnsi="Times New Roman" w:cs="Times New Roman"/>
          <w:sz w:val="24"/>
          <w:vertAlign w:val="superscript"/>
        </w:rPr>
        <w:t xml:space="preserve">2 </w:t>
      </w:r>
      <w:r w:rsidRPr="00020AD5">
        <w:rPr>
          <w:rFonts w:ascii="Times New Roman" w:hAnsi="Times New Roman" w:cs="Times New Roman"/>
          <w:sz w:val="24"/>
        </w:rPr>
        <w:t>3,32 eura na dan,</w:t>
      </w:r>
    </w:p>
    <w:p w14:paraId="2CE078E7" w14:textId="77777777" w:rsidR="00020AD5" w:rsidRPr="00020AD5" w:rsidRDefault="00020AD5" w:rsidP="00447F6C">
      <w:pPr>
        <w:pStyle w:val="Odlomakpopisa"/>
        <w:widowControl w:val="0"/>
        <w:numPr>
          <w:ilvl w:val="0"/>
          <w:numId w:val="10"/>
        </w:numPr>
        <w:tabs>
          <w:tab w:val="left" w:pos="381"/>
        </w:tabs>
        <w:autoSpaceDE w:val="0"/>
        <w:autoSpaceDN w:val="0"/>
        <w:spacing w:after="0" w:line="240" w:lineRule="auto"/>
        <w:ind w:left="426" w:right="-2" w:hanging="426"/>
        <w:contextualSpacing w:val="0"/>
        <w:jc w:val="both"/>
        <w:rPr>
          <w:rFonts w:ascii="Times New Roman" w:hAnsi="Times New Roman" w:cs="Times New Roman"/>
          <w:sz w:val="24"/>
        </w:rPr>
      </w:pPr>
      <w:r w:rsidRPr="00020AD5">
        <w:rPr>
          <w:rFonts w:ascii="Times New Roman" w:hAnsi="Times New Roman" w:cs="Times New Roman"/>
          <w:sz w:val="24"/>
        </w:rPr>
        <w:t>za ostale neprofitabilne namjene (informacije, edukacije, prezentacije i slično) 13,27 eura na dan po m</w:t>
      </w:r>
      <w:r w:rsidRPr="00413E45">
        <w:rPr>
          <w:rFonts w:ascii="Times New Roman" w:hAnsi="Times New Roman" w:cs="Times New Roman"/>
          <w:sz w:val="24"/>
          <w:vertAlign w:val="superscript"/>
        </w:rPr>
        <w:t>2</w:t>
      </w:r>
      <w:r w:rsidRPr="00020AD5">
        <w:rPr>
          <w:rFonts w:ascii="Times New Roman" w:hAnsi="Times New Roman" w:cs="Times New Roman"/>
          <w:sz w:val="24"/>
        </w:rPr>
        <w:t>.</w:t>
      </w:r>
    </w:p>
    <w:p w14:paraId="5CEC55B8" w14:textId="71A16DC0" w:rsidR="0016365C" w:rsidRDefault="0016365C" w:rsidP="006B6D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B6D28D" w14:textId="0B90D780" w:rsidR="005D6F10" w:rsidRPr="009D29EF" w:rsidRDefault="00020AD5" w:rsidP="009D2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16365C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693C70" w14:textId="78BBFD66" w:rsidR="005D6F10" w:rsidRPr="00165A99" w:rsidRDefault="00360846" w:rsidP="005D6F10">
      <w:pPr>
        <w:spacing w:after="0" w:line="240" w:lineRule="auto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5D6F10" w:rsidRPr="00165A99">
        <w:rPr>
          <w:rFonts w:ascii="Times New Roman" w:hAnsi="Times New Roman" w:cs="Times New Roman"/>
          <w:bCs/>
          <w:sz w:val="24"/>
          <w:szCs w:val="24"/>
        </w:rPr>
        <w:t>Poslove utvrđivanja, nadzora, naplate i ovrhe radi naplate poreza na korištenje javnih površina obavlja Upravni odjel za financije Grada Poreča-</w:t>
      </w:r>
      <w:proofErr w:type="spellStart"/>
      <w:r w:rsidR="005D6F10" w:rsidRPr="00165A99">
        <w:rPr>
          <w:rFonts w:ascii="Times New Roman" w:hAnsi="Times New Roman" w:cs="Times New Roman"/>
          <w:bCs/>
          <w:sz w:val="24"/>
          <w:szCs w:val="24"/>
        </w:rPr>
        <w:t>Parenzo</w:t>
      </w:r>
      <w:proofErr w:type="spellEnd"/>
      <w:r w:rsidR="005D6F10" w:rsidRPr="00165A99">
        <w:rPr>
          <w:rFonts w:ascii="Times New Roman" w:hAnsi="Times New Roman" w:cs="Times New Roman"/>
          <w:bCs/>
          <w:sz w:val="24"/>
          <w:szCs w:val="24"/>
        </w:rPr>
        <w:t>.</w:t>
      </w:r>
    </w:p>
    <w:p w14:paraId="2F0AE1D5" w14:textId="77777777" w:rsidR="005D6F10" w:rsidRPr="00EF2F1C" w:rsidRDefault="005D6F10" w:rsidP="00EF2F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s"/>
        </w:rPr>
      </w:pPr>
    </w:p>
    <w:p w14:paraId="1FCA6B0E" w14:textId="39382E3E" w:rsidR="00020AD5" w:rsidRDefault="00EF2F1C" w:rsidP="00EF2F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2F1C">
        <w:rPr>
          <w:rFonts w:ascii="Times New Roman" w:eastAsia="Times New Roman" w:hAnsi="Times New Roman" w:cs="Times New Roman"/>
          <w:sz w:val="24"/>
          <w:szCs w:val="24"/>
          <w:lang w:val="bs"/>
        </w:rPr>
        <w:t>Porez na korištenje javne površine, prema izdanom rješenju, plaća se u pravilu u roku od 15 dana, a u specifičnim slučajevima korištenja javnih površina porez se može platiti u dva obroka (rate) s dospijećem plaćanja do najkasnije 15. kolovoza u godini.</w:t>
      </w:r>
    </w:p>
    <w:p w14:paraId="7F439119" w14:textId="77777777" w:rsidR="00EF2F1C" w:rsidRDefault="00EF2F1C" w:rsidP="00447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0E1499" w14:textId="2041763B" w:rsidR="00020AD5" w:rsidRDefault="00020AD5" w:rsidP="009D2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16365C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721DBF" w14:textId="06973A20" w:rsidR="00020AD5" w:rsidRDefault="00020AD5" w:rsidP="00EF2F1C">
      <w:pPr>
        <w:pStyle w:val="Tijeloteksta"/>
        <w:ind w:right="-2" w:firstLine="709"/>
        <w:jc w:val="both"/>
      </w:pPr>
      <w:r>
        <w:t>U postupku natječaja ili javnog prikupljanja ponuda za dodjelu javnih površina visina jamčevine se propisuje</w:t>
      </w:r>
      <w:r w:rsidR="00AB22BE">
        <w:t xml:space="preserve"> </w:t>
      </w:r>
      <w:r>
        <w:rPr>
          <w:spacing w:val="-57"/>
        </w:rPr>
        <w:t xml:space="preserve"> </w:t>
      </w:r>
      <w:r>
        <w:t>u visini od 50% početnog iznosa poreza.</w:t>
      </w:r>
    </w:p>
    <w:p w14:paraId="0D917EFD" w14:textId="77777777" w:rsidR="00413E45" w:rsidRDefault="00413E45" w:rsidP="006B6D73">
      <w:pPr>
        <w:pStyle w:val="Tijeloteksta"/>
        <w:ind w:right="122"/>
        <w:jc w:val="both"/>
      </w:pPr>
    </w:p>
    <w:p w14:paraId="71BCA5C8" w14:textId="0A618995" w:rsidR="00020AD5" w:rsidRDefault="00020AD5" w:rsidP="009D29EF">
      <w:pPr>
        <w:pStyle w:val="Tijeloteksta"/>
        <w:ind w:right="122"/>
        <w:jc w:val="center"/>
        <w:rPr>
          <w:b/>
          <w:bCs/>
        </w:rPr>
      </w:pPr>
      <w:r w:rsidRPr="00020AD5">
        <w:rPr>
          <w:b/>
          <w:bCs/>
        </w:rPr>
        <w:t>Članak 1</w:t>
      </w:r>
      <w:r w:rsidR="0016365C">
        <w:rPr>
          <w:b/>
          <w:bCs/>
        </w:rPr>
        <w:t>8</w:t>
      </w:r>
      <w:r w:rsidRPr="00020AD5">
        <w:rPr>
          <w:b/>
          <w:bCs/>
        </w:rPr>
        <w:t>.</w:t>
      </w:r>
    </w:p>
    <w:p w14:paraId="70E80125" w14:textId="62EF8031" w:rsidR="00020AD5" w:rsidRDefault="00020AD5" w:rsidP="00EF2F1C">
      <w:pPr>
        <w:pStyle w:val="Tijeloteksta"/>
        <w:ind w:firstLine="709"/>
        <w:jc w:val="both"/>
      </w:pPr>
      <w:r w:rsidRPr="00020AD5">
        <w:t>Visinu</w:t>
      </w:r>
      <w:r w:rsidRPr="00020AD5">
        <w:rPr>
          <w:spacing w:val="-2"/>
        </w:rPr>
        <w:t xml:space="preserve"> </w:t>
      </w:r>
      <w:r w:rsidRPr="00020AD5">
        <w:t>poreza</w:t>
      </w:r>
      <w:r w:rsidRPr="00020AD5">
        <w:rPr>
          <w:spacing w:val="-2"/>
        </w:rPr>
        <w:t xml:space="preserve"> </w:t>
      </w:r>
      <w:r w:rsidRPr="00020AD5">
        <w:t>na</w:t>
      </w:r>
      <w:r w:rsidRPr="00020AD5">
        <w:rPr>
          <w:spacing w:val="-2"/>
        </w:rPr>
        <w:t xml:space="preserve"> </w:t>
      </w:r>
      <w:r w:rsidRPr="00020AD5">
        <w:t>korištenje</w:t>
      </w:r>
      <w:r w:rsidRPr="00020AD5">
        <w:rPr>
          <w:spacing w:val="-2"/>
        </w:rPr>
        <w:t xml:space="preserve"> </w:t>
      </w:r>
      <w:r w:rsidRPr="00020AD5">
        <w:t>javnih</w:t>
      </w:r>
      <w:r w:rsidRPr="00020AD5">
        <w:rPr>
          <w:spacing w:val="-2"/>
        </w:rPr>
        <w:t xml:space="preserve"> </w:t>
      </w:r>
      <w:r w:rsidRPr="00020AD5">
        <w:t>površina</w:t>
      </w:r>
      <w:r w:rsidRPr="00020AD5">
        <w:rPr>
          <w:spacing w:val="-2"/>
        </w:rPr>
        <w:t xml:space="preserve"> </w:t>
      </w:r>
      <w:r w:rsidRPr="00020AD5">
        <w:t>u</w:t>
      </w:r>
      <w:r w:rsidRPr="00020AD5">
        <w:rPr>
          <w:spacing w:val="-2"/>
        </w:rPr>
        <w:t xml:space="preserve"> </w:t>
      </w:r>
      <w:r w:rsidRPr="00020AD5">
        <w:t>slučajevima</w:t>
      </w:r>
      <w:r w:rsidRPr="00020AD5">
        <w:rPr>
          <w:spacing w:val="-1"/>
        </w:rPr>
        <w:t xml:space="preserve"> </w:t>
      </w:r>
      <w:r w:rsidRPr="00020AD5">
        <w:t>koji</w:t>
      </w:r>
      <w:r w:rsidRPr="00020AD5">
        <w:rPr>
          <w:spacing w:val="-2"/>
        </w:rPr>
        <w:t xml:space="preserve"> </w:t>
      </w:r>
      <w:r w:rsidRPr="00020AD5">
        <w:t>nisu</w:t>
      </w:r>
      <w:r w:rsidRPr="00020AD5">
        <w:rPr>
          <w:spacing w:val="-2"/>
        </w:rPr>
        <w:t xml:space="preserve"> </w:t>
      </w:r>
      <w:r w:rsidRPr="00020AD5">
        <w:t>predviđeni</w:t>
      </w:r>
      <w:r w:rsidRPr="00020AD5">
        <w:rPr>
          <w:spacing w:val="-2"/>
        </w:rPr>
        <w:t xml:space="preserve"> </w:t>
      </w:r>
      <w:r w:rsidRPr="00020AD5">
        <w:t>ovom</w:t>
      </w:r>
      <w:r w:rsidRPr="00020AD5">
        <w:rPr>
          <w:spacing w:val="-2"/>
        </w:rPr>
        <w:t xml:space="preserve"> </w:t>
      </w:r>
      <w:r w:rsidRPr="00020AD5">
        <w:t>Odlukom,</w:t>
      </w:r>
      <w:r w:rsidRPr="00020AD5">
        <w:rPr>
          <w:spacing w:val="-2"/>
        </w:rPr>
        <w:t xml:space="preserve"> </w:t>
      </w:r>
      <w:r w:rsidRPr="00020AD5">
        <w:t>odredit</w:t>
      </w:r>
      <w:r w:rsidR="00413E45">
        <w:rPr>
          <w:spacing w:val="-2"/>
        </w:rPr>
        <w:t xml:space="preserve"> će </w:t>
      </w:r>
      <w:r w:rsidRPr="00020AD5">
        <w:t xml:space="preserve">Gradonačelnik, a rješenje o razrezu i naplati donosi </w:t>
      </w:r>
      <w:r w:rsidR="0024148D">
        <w:t>Upravni odjel za financije Grada Poreča-Parenzo.</w:t>
      </w:r>
    </w:p>
    <w:p w14:paraId="4DF6A193" w14:textId="77777777" w:rsidR="00413E45" w:rsidRDefault="00413E45" w:rsidP="006B6D73">
      <w:pPr>
        <w:pStyle w:val="Tijeloteksta"/>
        <w:jc w:val="both"/>
      </w:pPr>
    </w:p>
    <w:p w14:paraId="5D02AF5D" w14:textId="3CCA30C1" w:rsidR="00020AD5" w:rsidRDefault="00EF2F1C" w:rsidP="00447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2A17D0" w:rsidRPr="002A17D0">
        <w:rPr>
          <w:rFonts w:ascii="Times New Roman" w:hAnsi="Times New Roman" w:cs="Times New Roman"/>
          <w:b/>
          <w:bCs/>
          <w:sz w:val="24"/>
          <w:szCs w:val="24"/>
        </w:rPr>
        <w:t>I.</w:t>
      </w:r>
      <w:r w:rsidR="002A17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0AD5" w:rsidRPr="002A17D0">
        <w:rPr>
          <w:rFonts w:ascii="Times New Roman" w:hAnsi="Times New Roman" w:cs="Times New Roman"/>
          <w:b/>
          <w:bCs/>
          <w:sz w:val="24"/>
          <w:szCs w:val="24"/>
        </w:rPr>
        <w:t>ZAJEDNIČKE ODREDBE</w:t>
      </w:r>
    </w:p>
    <w:p w14:paraId="67C0436D" w14:textId="77777777" w:rsidR="00A4382D" w:rsidRDefault="00A4382D" w:rsidP="006B6D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6E4474" w14:textId="5AE7CBEE" w:rsidR="002A17D0" w:rsidRPr="002A17D0" w:rsidRDefault="0016365C" w:rsidP="009D2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19</w:t>
      </w:r>
      <w:r w:rsidR="002A17D0" w:rsidRPr="00020A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5060713" w14:textId="4CDFF11D" w:rsidR="00020AD5" w:rsidRDefault="00020AD5" w:rsidP="00EF2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0AD5">
        <w:rPr>
          <w:rFonts w:ascii="Times New Roman" w:hAnsi="Times New Roman" w:cs="Times New Roman"/>
          <w:sz w:val="24"/>
          <w:szCs w:val="24"/>
        </w:rPr>
        <w:t>Ovlašćuje se Gradonačelnik da može izvršiti promjenu namjene pojedine javne površine i zone utvrđene u</w:t>
      </w:r>
      <w:r w:rsidR="00447F6C">
        <w:rPr>
          <w:rFonts w:ascii="Times New Roman" w:hAnsi="Times New Roman" w:cs="Times New Roman"/>
          <w:sz w:val="24"/>
          <w:szCs w:val="24"/>
        </w:rPr>
        <w:t xml:space="preserve"> </w:t>
      </w:r>
      <w:r w:rsidRPr="00020AD5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020AD5">
        <w:rPr>
          <w:rFonts w:ascii="Times New Roman" w:hAnsi="Times New Roman" w:cs="Times New Roman"/>
          <w:sz w:val="24"/>
          <w:szCs w:val="24"/>
        </w:rPr>
        <w:t>prethodnim odredbama ove Odluke u slučajevima hitne potrebe ili kada to nalažu posebni interesi Grada.</w:t>
      </w:r>
    </w:p>
    <w:p w14:paraId="2BFA745C" w14:textId="424EC0D1" w:rsidR="00020AD5" w:rsidRDefault="00020AD5" w:rsidP="006B6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532E7" w14:textId="09874926" w:rsidR="002A17D0" w:rsidRDefault="00020AD5" w:rsidP="009D2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0AD5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2A17D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6365C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20AD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73C9D54" w14:textId="407709CC" w:rsidR="002A17D0" w:rsidRDefault="002A17D0" w:rsidP="00EF2F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17D0">
        <w:rPr>
          <w:rFonts w:ascii="Times New Roman" w:hAnsi="Times New Roman" w:cs="Times New Roman"/>
          <w:sz w:val="24"/>
          <w:szCs w:val="24"/>
        </w:rPr>
        <w:t>Za utvrđivanje poreza, naplatu, žalbe, obnovu postupka, zastaru, ovršni postupak, kao i za sve ostale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17D0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proofErr w:type="spellStart"/>
      <w:r w:rsidRPr="002A17D0">
        <w:rPr>
          <w:rFonts w:ascii="Times New Roman" w:hAnsi="Times New Roman" w:cs="Times New Roman"/>
          <w:sz w:val="24"/>
          <w:szCs w:val="24"/>
        </w:rPr>
        <w:t>postupovne</w:t>
      </w:r>
      <w:proofErr w:type="spellEnd"/>
      <w:r w:rsidRPr="002A17D0">
        <w:rPr>
          <w:rFonts w:ascii="Times New Roman" w:hAnsi="Times New Roman" w:cs="Times New Roman"/>
          <w:sz w:val="24"/>
          <w:szCs w:val="24"/>
        </w:rPr>
        <w:t xml:space="preserve"> radnje primjenjivat će se odredbe Općeg poreznog zakona i ostalih važećih propisa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7B4A8B" w14:textId="77777777" w:rsidR="00A4382D" w:rsidRDefault="00A4382D" w:rsidP="006B6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1DD19" w14:textId="260DE88F" w:rsidR="002A17D0" w:rsidRDefault="002A17D0" w:rsidP="009D2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7D0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16365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A17D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533F4B" w14:textId="023801F6" w:rsidR="002A17D0" w:rsidRPr="002A17D0" w:rsidRDefault="002A17D0" w:rsidP="00EF2F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7D0">
        <w:rPr>
          <w:rFonts w:ascii="Times New Roman" w:hAnsi="Times New Roman" w:cs="Times New Roman"/>
          <w:sz w:val="24"/>
          <w:szCs w:val="24"/>
        </w:rPr>
        <w:t>Gradonačelnik će po potrebi donositi pravilnike, naputke i načelne stavove za provođenje ove Odluke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91B65B" w14:textId="77777777" w:rsidR="002A17D0" w:rsidRPr="002A17D0" w:rsidRDefault="002A17D0" w:rsidP="006B6D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76BE9" w14:textId="3D8CFCD5" w:rsidR="002A17D0" w:rsidRDefault="00EF2F1C" w:rsidP="00447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2A17D0">
        <w:rPr>
          <w:rFonts w:ascii="Times New Roman" w:hAnsi="Times New Roman" w:cs="Times New Roman"/>
          <w:b/>
          <w:bCs/>
          <w:sz w:val="24"/>
          <w:szCs w:val="24"/>
        </w:rPr>
        <w:t>V. PRIJELAZNE I ZAVRŠNE ODREDBE</w:t>
      </w:r>
    </w:p>
    <w:p w14:paraId="481D23EB" w14:textId="77777777" w:rsidR="009D29EF" w:rsidRDefault="009D29EF" w:rsidP="00447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A65F32" w14:textId="7E9F80CD" w:rsidR="002A17D0" w:rsidRDefault="002A17D0" w:rsidP="00447F6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16365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7AE6C9E" w14:textId="5F85F1BB" w:rsidR="002E3AD0" w:rsidRDefault="003F5314" w:rsidP="009D29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5314">
        <w:rPr>
          <w:rFonts w:ascii="Times New Roman" w:hAnsi="Times New Roman" w:cs="Times New Roman"/>
          <w:sz w:val="24"/>
          <w:szCs w:val="24"/>
        </w:rPr>
        <w:t>Stupanjem ove Odluke na snagu prestaje važiti Odluka o</w:t>
      </w:r>
      <w:r>
        <w:rPr>
          <w:rFonts w:ascii="Times New Roman" w:hAnsi="Times New Roman" w:cs="Times New Roman"/>
          <w:sz w:val="24"/>
          <w:szCs w:val="24"/>
        </w:rPr>
        <w:t xml:space="preserve"> lokalnim</w:t>
      </w:r>
      <w:r w:rsidRPr="003F5314">
        <w:rPr>
          <w:rFonts w:ascii="Times New Roman" w:hAnsi="Times New Roman" w:cs="Times New Roman"/>
          <w:sz w:val="24"/>
          <w:szCs w:val="24"/>
        </w:rPr>
        <w:t xml:space="preserve"> porezima Grada Poreča-</w:t>
      </w:r>
      <w:proofErr w:type="spellStart"/>
      <w:r w:rsidRPr="003F5314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="00E92086">
        <w:rPr>
          <w:rFonts w:ascii="Times New Roman" w:hAnsi="Times New Roman" w:cs="Times New Roman"/>
          <w:sz w:val="24"/>
          <w:szCs w:val="24"/>
        </w:rPr>
        <w:t xml:space="preserve"> </w:t>
      </w:r>
      <w:r w:rsidRPr="003F5314">
        <w:rPr>
          <w:rFonts w:ascii="Times New Roman" w:hAnsi="Times New Roman" w:cs="Times New Roman"/>
          <w:sz w:val="24"/>
          <w:szCs w:val="24"/>
        </w:rPr>
        <w:t>(</w:t>
      </w:r>
      <w:r w:rsidR="00A4382D">
        <w:rPr>
          <w:rFonts w:ascii="Times New Roman" w:hAnsi="Times New Roman" w:cs="Times New Roman"/>
          <w:sz w:val="24"/>
          <w:szCs w:val="24"/>
        </w:rPr>
        <w:t>„</w:t>
      </w:r>
      <w:r w:rsidRPr="003F5314">
        <w:rPr>
          <w:rFonts w:ascii="Times New Roman" w:hAnsi="Times New Roman" w:cs="Times New Roman"/>
          <w:sz w:val="24"/>
          <w:szCs w:val="24"/>
        </w:rPr>
        <w:t>Službeni glasnik</w:t>
      </w:r>
      <w:r w:rsidR="00AB22BE">
        <w:rPr>
          <w:rFonts w:ascii="Times New Roman" w:hAnsi="Times New Roman" w:cs="Times New Roman"/>
          <w:sz w:val="24"/>
          <w:szCs w:val="24"/>
        </w:rPr>
        <w:t xml:space="preserve"> </w:t>
      </w:r>
      <w:r w:rsidRPr="003F531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3F5314">
        <w:rPr>
          <w:rFonts w:ascii="Times New Roman" w:hAnsi="Times New Roman" w:cs="Times New Roman"/>
          <w:sz w:val="24"/>
          <w:szCs w:val="24"/>
        </w:rPr>
        <w:t>Grada Poreča</w:t>
      </w:r>
      <w:r w:rsidR="000F5EB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0F5EB2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="00FC5E0D">
        <w:rPr>
          <w:rFonts w:ascii="Times New Roman" w:hAnsi="Times New Roman" w:cs="Times New Roman"/>
          <w:sz w:val="24"/>
          <w:szCs w:val="24"/>
        </w:rPr>
        <w:t>“</w:t>
      </w:r>
      <w:r w:rsidR="00447F6C">
        <w:rPr>
          <w:rFonts w:ascii="Times New Roman" w:hAnsi="Times New Roman" w:cs="Times New Roman"/>
          <w:sz w:val="24"/>
          <w:szCs w:val="24"/>
        </w:rPr>
        <w:t>, broj</w:t>
      </w:r>
      <w:r w:rsidRPr="003F5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E92086">
        <w:rPr>
          <w:rFonts w:ascii="Times New Roman" w:hAnsi="Times New Roman" w:cs="Times New Roman"/>
          <w:sz w:val="24"/>
          <w:szCs w:val="24"/>
        </w:rPr>
        <w:t>8/17</w:t>
      </w:r>
      <w:r w:rsidR="00A4382D">
        <w:rPr>
          <w:rFonts w:ascii="Times New Roman" w:hAnsi="Times New Roman" w:cs="Times New Roman"/>
          <w:sz w:val="24"/>
          <w:szCs w:val="24"/>
        </w:rPr>
        <w:t xml:space="preserve">, </w:t>
      </w:r>
      <w:r w:rsidR="00AB22BE">
        <w:rPr>
          <w:rFonts w:ascii="Times New Roman" w:hAnsi="Times New Roman" w:cs="Times New Roman"/>
          <w:sz w:val="24"/>
          <w:szCs w:val="24"/>
        </w:rPr>
        <w:t>05/18 i 20/19)</w:t>
      </w:r>
    </w:p>
    <w:p w14:paraId="39B98769" w14:textId="04F48119" w:rsidR="00D639F6" w:rsidRDefault="00D639F6" w:rsidP="006B6D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FA27C" w14:textId="30978A98" w:rsidR="00D639F6" w:rsidRDefault="00D639F6" w:rsidP="009D2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39F6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16365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639F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EB0EF76" w14:textId="2BD03965" w:rsidR="00EF2F1C" w:rsidRDefault="00EF2F1C" w:rsidP="00EF2F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s"/>
        </w:rPr>
      </w:pPr>
      <w:r w:rsidRPr="00EF2F1C">
        <w:rPr>
          <w:rFonts w:ascii="Times New Roman" w:eastAsia="Times New Roman" w:hAnsi="Times New Roman" w:cs="Times New Roman"/>
          <w:sz w:val="24"/>
          <w:szCs w:val="24"/>
          <w:lang w:val="bs"/>
        </w:rPr>
        <w:t>Postupci u svezi s utvrđivanjem i naplatom gradskih poreza započeti do dana stupanja na snagu ove Odluke, dovršiti će se prema odredbama Odluke o lokalnim porezima Grada Poreča-Parenzo (</w:t>
      </w:r>
      <w:r>
        <w:rPr>
          <w:rFonts w:ascii="Times New Roman" w:eastAsia="Times New Roman" w:hAnsi="Times New Roman" w:cs="Times New Roman"/>
          <w:sz w:val="24"/>
          <w:szCs w:val="24"/>
          <w:lang w:val="bs"/>
        </w:rPr>
        <w:t>„</w:t>
      </w:r>
      <w:r w:rsidRPr="00EF2F1C">
        <w:rPr>
          <w:rFonts w:ascii="Times New Roman" w:eastAsia="Times New Roman" w:hAnsi="Times New Roman" w:cs="Times New Roman"/>
          <w:sz w:val="24"/>
          <w:szCs w:val="24"/>
          <w:lang w:val="bs"/>
        </w:rPr>
        <w:t>Službeni glasnik  Grada Poreča</w:t>
      </w:r>
      <w:r w:rsidR="00FC5E0D">
        <w:rPr>
          <w:rFonts w:ascii="Times New Roman" w:eastAsia="Times New Roman" w:hAnsi="Times New Roman" w:cs="Times New Roman"/>
          <w:sz w:val="24"/>
          <w:szCs w:val="24"/>
          <w:lang w:val="bs"/>
        </w:rPr>
        <w:t>“</w:t>
      </w:r>
      <w:r w:rsidRPr="00EF2F1C">
        <w:rPr>
          <w:rFonts w:ascii="Times New Roman" w:eastAsia="Times New Roman" w:hAnsi="Times New Roman" w:cs="Times New Roman"/>
          <w:sz w:val="24"/>
          <w:szCs w:val="24"/>
          <w:lang w:val="bs"/>
        </w:rPr>
        <w:t xml:space="preserve"> 18/17</w:t>
      </w:r>
      <w:r>
        <w:rPr>
          <w:rFonts w:ascii="Times New Roman" w:eastAsia="Times New Roman" w:hAnsi="Times New Roman" w:cs="Times New Roman"/>
          <w:sz w:val="24"/>
          <w:szCs w:val="24"/>
          <w:lang w:val="bs"/>
        </w:rPr>
        <w:t>, 05/18 I 20/19</w:t>
      </w:r>
      <w:r w:rsidRPr="00EF2F1C">
        <w:rPr>
          <w:rFonts w:ascii="Times New Roman" w:eastAsia="Times New Roman" w:hAnsi="Times New Roman" w:cs="Times New Roman"/>
          <w:sz w:val="24"/>
          <w:szCs w:val="24"/>
          <w:lang w:val="b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bs"/>
        </w:rPr>
        <w:t>.</w:t>
      </w:r>
      <w:r w:rsidRPr="00EF2F1C">
        <w:rPr>
          <w:rFonts w:ascii="Times New Roman" w:eastAsia="Times New Roman" w:hAnsi="Times New Roman" w:cs="Times New Roman"/>
          <w:sz w:val="24"/>
          <w:szCs w:val="24"/>
          <w:lang w:val="bs"/>
        </w:rPr>
        <w:t xml:space="preserve"> </w:t>
      </w:r>
    </w:p>
    <w:p w14:paraId="7247C00D" w14:textId="77777777" w:rsidR="00EF2F1C" w:rsidRDefault="00EF2F1C" w:rsidP="00EF2F1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bs"/>
        </w:rPr>
      </w:pPr>
    </w:p>
    <w:p w14:paraId="3DD56A13" w14:textId="40ACC621" w:rsidR="00A4663A" w:rsidRPr="00D639F6" w:rsidRDefault="005D2564" w:rsidP="009D29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16365C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6AEB7E5" w14:textId="105D2E17" w:rsidR="002A17D0" w:rsidRPr="005D2564" w:rsidRDefault="005D2564" w:rsidP="00EF2F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564">
        <w:rPr>
          <w:rFonts w:ascii="Times New Roman" w:hAnsi="Times New Roman" w:cs="Times New Roman"/>
          <w:sz w:val="24"/>
          <w:szCs w:val="24"/>
        </w:rPr>
        <w:t xml:space="preserve">Ova Odluka objavit će se u </w:t>
      </w:r>
      <w:r w:rsidR="00EF2F1C">
        <w:rPr>
          <w:rFonts w:ascii="Times New Roman" w:hAnsi="Times New Roman" w:cs="Times New Roman"/>
          <w:sz w:val="24"/>
          <w:szCs w:val="24"/>
        </w:rPr>
        <w:t>„</w:t>
      </w:r>
      <w:r w:rsidRPr="005D2564">
        <w:rPr>
          <w:rFonts w:ascii="Times New Roman" w:hAnsi="Times New Roman" w:cs="Times New Roman"/>
          <w:sz w:val="24"/>
          <w:szCs w:val="24"/>
        </w:rPr>
        <w:t>Službenom glasniku Grada Poreča-</w:t>
      </w:r>
      <w:proofErr w:type="spellStart"/>
      <w:r w:rsidRPr="005D2564">
        <w:rPr>
          <w:rFonts w:ascii="Times New Roman" w:hAnsi="Times New Roman" w:cs="Times New Roman"/>
          <w:sz w:val="24"/>
          <w:szCs w:val="24"/>
        </w:rPr>
        <w:t>Parenzo</w:t>
      </w:r>
      <w:proofErr w:type="spellEnd"/>
      <w:r w:rsidR="00EF2F1C">
        <w:rPr>
          <w:rFonts w:ascii="Times New Roman" w:hAnsi="Times New Roman" w:cs="Times New Roman"/>
          <w:sz w:val="24"/>
          <w:szCs w:val="24"/>
        </w:rPr>
        <w:t>“</w:t>
      </w:r>
      <w:r w:rsidRPr="005D2564">
        <w:rPr>
          <w:rFonts w:ascii="Times New Roman" w:hAnsi="Times New Roman" w:cs="Times New Roman"/>
          <w:sz w:val="24"/>
          <w:szCs w:val="24"/>
        </w:rPr>
        <w:t>, a stupa na snagu 01. siječnja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5D2564">
        <w:rPr>
          <w:rFonts w:ascii="Times New Roman" w:hAnsi="Times New Roman" w:cs="Times New Roman"/>
          <w:sz w:val="24"/>
          <w:szCs w:val="24"/>
        </w:rPr>
        <w:t>.</w:t>
      </w:r>
      <w:r w:rsidRPr="005D2564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5D2564">
        <w:rPr>
          <w:rFonts w:ascii="Times New Roman" w:hAnsi="Times New Roman" w:cs="Times New Roman"/>
          <w:sz w:val="24"/>
          <w:szCs w:val="24"/>
        </w:rPr>
        <w:t>godine.</w:t>
      </w:r>
    </w:p>
    <w:p w14:paraId="7B055940" w14:textId="3F39C2D2" w:rsidR="00020AD5" w:rsidRDefault="00020AD5" w:rsidP="006B6D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3BC2C" w14:textId="12869B36" w:rsidR="009D29EF" w:rsidRDefault="009D29EF" w:rsidP="009D29E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FD1512" w14:textId="04F8FA61" w:rsidR="009D29EF" w:rsidRPr="009D29EF" w:rsidRDefault="009D29EF" w:rsidP="009D29EF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</w:t>
      </w:r>
      <w:r w:rsidRPr="009D29EF">
        <w:rPr>
          <w:rFonts w:ascii="Times New Roman" w:hAnsi="Times New Roman" w:cs="Times New Roman"/>
          <w:b/>
          <w:bCs/>
          <w:sz w:val="24"/>
          <w:szCs w:val="24"/>
        </w:rPr>
        <w:t>PREDSJEDNIK</w:t>
      </w:r>
    </w:p>
    <w:p w14:paraId="205D3622" w14:textId="18AC0C5F" w:rsidR="009D29EF" w:rsidRPr="009D29EF" w:rsidRDefault="009D29EF" w:rsidP="009D29EF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9D29E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GRADSKOG VIJEĆA</w:t>
      </w:r>
    </w:p>
    <w:p w14:paraId="38F36B33" w14:textId="3FD4FC8D" w:rsidR="009D29EF" w:rsidRDefault="009D29EF" w:rsidP="009D29EF">
      <w:pPr>
        <w:tabs>
          <w:tab w:val="left" w:pos="7136"/>
        </w:tabs>
        <w:rPr>
          <w:b/>
          <w:bCs/>
        </w:rPr>
      </w:pPr>
      <w:r w:rsidRPr="009D29EF">
        <w:rPr>
          <w:b/>
          <w:bCs/>
        </w:rPr>
        <w:tab/>
        <w:t xml:space="preserve"> </w:t>
      </w:r>
      <w:r w:rsidRPr="009D29EF">
        <w:rPr>
          <w:rFonts w:ascii="Times New Roman" w:hAnsi="Times New Roman" w:cs="Times New Roman"/>
          <w:b/>
          <w:bCs/>
          <w:sz w:val="24"/>
          <w:szCs w:val="24"/>
        </w:rPr>
        <w:t>Zoran Rabar</w:t>
      </w:r>
    </w:p>
    <w:p w14:paraId="68E97D2B" w14:textId="6073D38E" w:rsidR="009D29EF" w:rsidRDefault="009D29EF" w:rsidP="009D29EF">
      <w:pPr>
        <w:rPr>
          <w:b/>
          <w:bCs/>
        </w:rPr>
      </w:pPr>
    </w:p>
    <w:p w14:paraId="33180426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29E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DOSTAVITI</w:t>
      </w:r>
      <w:r w:rsidRPr="009D29E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3B63F60E" w14:textId="37B0FFE3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29EF">
        <w:rPr>
          <w:rFonts w:ascii="Times New Roman" w:eastAsia="Times New Roman" w:hAnsi="Times New Roman" w:cs="Times New Roman"/>
          <w:sz w:val="24"/>
          <w:szCs w:val="24"/>
          <w:lang w:eastAsia="hr-HR"/>
        </w:rPr>
        <w:t>1. Grad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onačelnik</w:t>
      </w:r>
      <w:r w:rsidRPr="009D29EF">
        <w:rPr>
          <w:rFonts w:ascii="Times New Roman" w:eastAsia="Times New Roman" w:hAnsi="Times New Roman" w:cs="Times New Roman"/>
          <w:sz w:val="24"/>
          <w:szCs w:val="24"/>
          <w:lang w:eastAsia="hr-HR"/>
        </w:rPr>
        <w:t>, ovdje,</w:t>
      </w:r>
    </w:p>
    <w:p w14:paraId="04E33F2C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29EF">
        <w:rPr>
          <w:rFonts w:ascii="Times New Roman" w:eastAsia="Times New Roman" w:hAnsi="Times New Roman" w:cs="Times New Roman"/>
          <w:sz w:val="24"/>
          <w:szCs w:val="24"/>
          <w:lang w:eastAsia="hr-HR"/>
        </w:rPr>
        <w:t>2. Upravni odjel za financije, ovdje,</w:t>
      </w:r>
    </w:p>
    <w:p w14:paraId="1CFB246C" w14:textId="77777777" w:rsidR="009D29EF" w:rsidRPr="009D29EF" w:rsidRDefault="009D29EF" w:rsidP="009D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D29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3. Pismohrana, ovdje.            </w:t>
      </w:r>
    </w:p>
    <w:p w14:paraId="5687CEDE" w14:textId="1B2C8979" w:rsidR="009D29EF" w:rsidRDefault="009D29EF" w:rsidP="009D29EF"/>
    <w:p w14:paraId="16A2A407" w14:textId="787B5570" w:rsidR="004D16F3" w:rsidRDefault="004D16F3" w:rsidP="009D29EF"/>
    <w:p w14:paraId="2E89B308" w14:textId="73A611CB" w:rsidR="004D16F3" w:rsidRDefault="004D16F3" w:rsidP="009D29EF"/>
    <w:p w14:paraId="45059B6C" w14:textId="03284FAF" w:rsidR="004D16F3" w:rsidRDefault="004D16F3" w:rsidP="009D29EF"/>
    <w:p w14:paraId="3C85B10F" w14:textId="6FE6670A" w:rsidR="004D16F3" w:rsidRDefault="004D16F3" w:rsidP="009D29EF"/>
    <w:p w14:paraId="750BCC43" w14:textId="60A81A41" w:rsidR="004D16F3" w:rsidRDefault="004D16F3" w:rsidP="009D29EF"/>
    <w:p w14:paraId="2C040974" w14:textId="31EB78D0" w:rsidR="004D16F3" w:rsidRDefault="004D16F3" w:rsidP="009D29EF"/>
    <w:p w14:paraId="31869CF4" w14:textId="14400ADE" w:rsidR="004D16F3" w:rsidRDefault="004D16F3" w:rsidP="009D29EF"/>
    <w:p w14:paraId="77EDB266" w14:textId="74E1E564" w:rsidR="004D16F3" w:rsidRDefault="004D16F3" w:rsidP="009D29EF"/>
    <w:p w14:paraId="192A34BA" w14:textId="03357FBE" w:rsidR="004D16F3" w:rsidRDefault="004D16F3" w:rsidP="009D29EF"/>
    <w:p w14:paraId="36724A08" w14:textId="598EDC9D" w:rsidR="004D16F3" w:rsidRDefault="004D16F3" w:rsidP="009D29EF"/>
    <w:p w14:paraId="58B25D5B" w14:textId="4DB46298" w:rsidR="004D16F3" w:rsidRDefault="004D16F3" w:rsidP="009D29EF"/>
    <w:p w14:paraId="1C3748B2" w14:textId="0FECA896" w:rsidR="004D16F3" w:rsidRDefault="004D16F3" w:rsidP="009D29EF"/>
    <w:p w14:paraId="050C46C1" w14:textId="43031FCC" w:rsidR="004D16F3" w:rsidRDefault="004D16F3" w:rsidP="009D29EF"/>
    <w:p w14:paraId="69E7AC19" w14:textId="77C236DC" w:rsidR="004D16F3" w:rsidRDefault="004D16F3" w:rsidP="009D29EF"/>
    <w:p w14:paraId="70BF98D2" w14:textId="015696B8" w:rsidR="004D16F3" w:rsidRDefault="004D16F3" w:rsidP="009D29EF"/>
    <w:p w14:paraId="71E0D001" w14:textId="5898BB49" w:rsidR="004D16F3" w:rsidRDefault="004D16F3" w:rsidP="009D29EF"/>
    <w:p w14:paraId="7655CDBC" w14:textId="54C2ACEB" w:rsidR="004D16F3" w:rsidRDefault="004D16F3" w:rsidP="009D29EF"/>
    <w:p w14:paraId="40634736" w14:textId="77777777" w:rsidR="004D16F3" w:rsidRPr="004807E5" w:rsidRDefault="004D16F3" w:rsidP="004D16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</w:pPr>
      <w:r w:rsidRPr="004807E5">
        <w:rPr>
          <w:rFonts w:ascii="Times New Roman" w:eastAsia="Times New Roman" w:hAnsi="Times New Roman" w:cs="Times New Roman"/>
          <w:b/>
          <w:sz w:val="24"/>
          <w:szCs w:val="24"/>
          <w:lang w:val="en-AU" w:eastAsia="hr-HR"/>
        </w:rPr>
        <w:lastRenderedPageBreak/>
        <w:t>OBRAZLOŽENJE</w:t>
      </w:r>
    </w:p>
    <w:p w14:paraId="3BAFC812" w14:textId="77777777" w:rsidR="004D16F3" w:rsidRPr="004807E5" w:rsidRDefault="004D16F3" w:rsidP="004D16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AU" w:eastAsia="hr-HR"/>
        </w:rPr>
      </w:pPr>
    </w:p>
    <w:p w14:paraId="19DF02CB" w14:textId="0ECCF271" w:rsidR="004D16F3" w:rsidRPr="004807E5" w:rsidRDefault="004D16F3" w:rsidP="004D16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807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Pravna osnova:</w:t>
      </w:r>
    </w:p>
    <w:p w14:paraId="1B7AE151" w14:textId="77777777" w:rsidR="004D16F3" w:rsidRPr="004807E5" w:rsidRDefault="004D16F3" w:rsidP="004D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07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Pravna osnova za donošenje ovog akta je:</w:t>
      </w:r>
    </w:p>
    <w:p w14:paraId="5422A369" w14:textId="77777777" w:rsidR="004D16F3" w:rsidRPr="004807E5" w:rsidRDefault="004D16F3" w:rsidP="004D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07E5">
        <w:rPr>
          <w:rFonts w:ascii="Times New Roman" w:eastAsia="Times New Roman" w:hAnsi="Times New Roman" w:cs="Times New Roman"/>
          <w:sz w:val="24"/>
          <w:szCs w:val="24"/>
          <w:lang w:eastAsia="hr-HR"/>
        </w:rPr>
        <w:t>- Zakon o lokalnim porezima ("Narodne novine", broj 115/16, 101/17, 114/22 i 114/23),</w:t>
      </w:r>
    </w:p>
    <w:p w14:paraId="4FE3DBD2" w14:textId="77777777" w:rsidR="004D16F3" w:rsidRPr="004807E5" w:rsidRDefault="004D16F3" w:rsidP="004D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07E5">
        <w:rPr>
          <w:rFonts w:ascii="Times New Roman" w:eastAsia="Times New Roman" w:hAnsi="Times New Roman" w:cs="Times New Roman"/>
          <w:sz w:val="24"/>
          <w:szCs w:val="24"/>
          <w:lang w:eastAsia="hr-HR"/>
        </w:rPr>
        <w:t>- Opći porezni zakon ("Narodne novine", broj 115/16 i 106/18, 121/19, 32/20, 42/20, 114/22) i</w:t>
      </w:r>
    </w:p>
    <w:p w14:paraId="7374D79C" w14:textId="77777777" w:rsidR="004D16F3" w:rsidRPr="004807E5" w:rsidRDefault="004D16F3" w:rsidP="004D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07E5">
        <w:rPr>
          <w:rFonts w:ascii="Times New Roman" w:eastAsia="Times New Roman" w:hAnsi="Times New Roman" w:cs="Times New Roman"/>
          <w:sz w:val="24"/>
          <w:szCs w:val="24"/>
          <w:lang w:eastAsia="hr-HR"/>
        </w:rPr>
        <w:t>- Statut Grada Poreča-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eastAsia="hr-HR"/>
        </w:rPr>
        <w:t>Parenzo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glasnik Grada Poreča“ broj 2/13, 10/18 i 2/21).</w:t>
      </w:r>
    </w:p>
    <w:p w14:paraId="64807115" w14:textId="77777777" w:rsidR="004D16F3" w:rsidRPr="004807E5" w:rsidRDefault="004D16F3" w:rsidP="004D1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eastAsia="hr-HR"/>
        </w:rPr>
      </w:pPr>
    </w:p>
    <w:p w14:paraId="5EB17F5D" w14:textId="677D9F55" w:rsidR="004D16F3" w:rsidRPr="004807E5" w:rsidRDefault="004D16F3" w:rsidP="004D16F3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807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Ocjena stanja:</w:t>
      </w:r>
    </w:p>
    <w:p w14:paraId="5A6FF3AB" w14:textId="77777777" w:rsidR="004D16F3" w:rsidRPr="004807E5" w:rsidRDefault="004D16F3" w:rsidP="004D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07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Dosadašnjim Zakonom  o lokalnim porezima ("Narodne novine" broj 115/16, 101/17 i 144/22) bilo je propisano da jedinice lokalne samouprave mogu uvesti porez na potrošnju, porez na kuće za odmor, porez na korištenje javnih površina i prirez porezu na dohodak, te da predstavničko tijelo jedinice lokalne samouprave utvrđuje visinu i nadležno tijelo za utvrđivanje, evidentiranje, nadzor, naplatu i ovrhu navedenih poreza. </w:t>
      </w:r>
    </w:p>
    <w:p w14:paraId="13E3BBA5" w14:textId="77777777" w:rsidR="004D16F3" w:rsidRPr="004807E5" w:rsidRDefault="004D16F3" w:rsidP="004D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07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Predstavničko tijelo Grada Poreča -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eastAsia="hr-HR"/>
        </w:rPr>
        <w:t>Parenzo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donijelo je Odluku o lokalnim porezima Grada Poreča-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eastAsia="hr-HR"/>
        </w:rPr>
        <w:t>Parenzo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objavljenu u Službenom glasniku Grada Poreča, broj 18/17, 05/18 i 20/19, kojom  su propisani gradski porezi: porez na potrošnju, porez na kuće za odmor i porez na korištenje javnih površina. Prirez porezu na dohodak, iako je Zakonom o lokalnim porezima bio omogućen, Odlukom o lokalnim porezima Grad Poreč-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eastAsia="hr-HR"/>
        </w:rPr>
        <w:t>Parenzo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nije uvodio. </w:t>
      </w:r>
    </w:p>
    <w:p w14:paraId="22A25839" w14:textId="77777777" w:rsidR="004D16F3" w:rsidRPr="004807E5" w:rsidRDefault="004D16F3" w:rsidP="004D16F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0F7F202" w14:textId="62EA606D" w:rsidR="004D16F3" w:rsidRPr="004807E5" w:rsidRDefault="004D16F3" w:rsidP="004D16F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lang w:eastAsia="hr-HR"/>
        </w:rPr>
      </w:pPr>
      <w:r w:rsidRPr="004807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pitanja koja treba urediti Odlukom:</w:t>
      </w:r>
    </w:p>
    <w:p w14:paraId="530C1656" w14:textId="77777777" w:rsidR="004D16F3" w:rsidRPr="004807E5" w:rsidRDefault="004D16F3" w:rsidP="004D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       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Novim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Zakonom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izmjenama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dopunama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Zakona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lokalnim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porezima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(„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Narodne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proofErr w:type="gram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novine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“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broj</w:t>
      </w:r>
      <w:proofErr w:type="spellEnd"/>
      <w:proofErr w:type="gram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114/23)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proširen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je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raspon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u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kojem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jedinice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lokalne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samouprave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ovlaštene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samostalno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propisivati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visinu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poreza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kuće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odmor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po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metru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kvadratnom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korisne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površine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kuće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odmor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tako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da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mogući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raspon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utvrđivanje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visine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poreza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kuće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odmor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sada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iznosi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od 0,60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5,00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eura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po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metru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kvadratnom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korisne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površine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.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Slijedom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navedenog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a s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obzirom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da se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dosadašnji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iznos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od 1,99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eura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nije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mijenjao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od 2001.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godine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predlaže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povećanje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iznosa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poreza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kuće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odmor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5,00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eura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po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metru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kvadratnom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korisne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površine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kuće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odmor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cijelom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području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grada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Poreča-Parenzo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</w:t>
      </w:r>
    </w:p>
    <w:p w14:paraId="11C1B265" w14:textId="67EFEEE1" w:rsidR="004D16F3" w:rsidRPr="004807E5" w:rsidRDefault="004D16F3" w:rsidP="004D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       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Ulice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unutar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zona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propisanih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čl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. 9.,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koje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odnose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javne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površine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namijenjene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postavljanju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kioska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štandova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popisane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prema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nazivu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ulica</w:t>
      </w:r>
      <w:proofErr w:type="spellEnd"/>
      <w:r w:rsidR="002B01F0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,</w:t>
      </w:r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a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objekata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</w:t>
      </w:r>
    </w:p>
    <w:p w14:paraId="4EE5754D" w14:textId="77777777" w:rsidR="004D16F3" w:rsidRPr="004807E5" w:rsidRDefault="004D16F3" w:rsidP="004D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       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Propisani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iznosi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korištenje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javnih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površina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po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metru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kvadratnom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za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ugostiteljske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terase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 ne </w:t>
      </w:r>
      <w:proofErr w:type="spellStart"/>
      <w:proofErr w:type="gram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mijenjaju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već</w:t>
      </w:r>
      <w:proofErr w:type="spellEnd"/>
      <w:proofErr w:type="gram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 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proširuje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obuhvat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zone I.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ulice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Decumanus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Obalu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maršala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Tita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Trg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Antona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Grabara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Trg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Matije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Gubca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Trg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Slobode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Narodni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trg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uz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istovremeno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smanjenje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obuhvata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zone II.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ulicu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Nikole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Tesle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Trga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slobode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do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prolaza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Peškera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ulicu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Bože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Milanovića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Trga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slobode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do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broja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3.,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Rade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Končara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križanja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Obalom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maršala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Tita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do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Turističke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ulice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.</w:t>
      </w:r>
    </w:p>
    <w:p w14:paraId="53D1F60B" w14:textId="77777777" w:rsidR="004D16F3" w:rsidRPr="004807E5" w:rsidRDefault="004D16F3" w:rsidP="004D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       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Korištenje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javnih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površina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postavljenim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privremenim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montažnim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objektom-kioskom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usklađeno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je s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člankom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2.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Pravilnika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jednostavnim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drugim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građevinama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radovima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u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dijelu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koji se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odnosi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kioske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koji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zauzimaju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javnu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površinu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veću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od 15,00 m2.</w:t>
      </w:r>
    </w:p>
    <w:p w14:paraId="38D8F37D" w14:textId="77777777" w:rsidR="004D16F3" w:rsidRPr="004807E5" w:rsidRDefault="004D16F3" w:rsidP="004D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         </w:t>
      </w:r>
      <w:r w:rsidRPr="004807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Nacrt akta objavljen je na </w:t>
      </w:r>
      <w:hyperlink r:id="rId11" w:history="1">
        <w:r w:rsidRPr="004807E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www.porec.hr</w:t>
        </w:r>
      </w:hyperlink>
      <w:r w:rsidRPr="004807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 provedbe savjetovanja sa javnošću u trajanju od 30 dana odnosno od dana 18.10.2023. godine do dana 17.11.2023. godine.</w:t>
      </w:r>
    </w:p>
    <w:p w14:paraId="7601E709" w14:textId="77777777" w:rsidR="004D16F3" w:rsidRPr="004807E5" w:rsidRDefault="004D16F3" w:rsidP="004D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07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U svezi navedenog napominje se da  na Nacrt predmetnog akta nije bilo dostavljenih očitovanja zainteresirane javnosti u vremenu trajanja savjetovanja, a da je sukladno obvezi iz citiranog Zakona o pravu na pristup informacijama, o provedenom savjetovanju sa javnošću sastavljeno Izvješće, koje je objavljeno na  </w:t>
      </w:r>
      <w:hyperlink r:id="rId12" w:history="1">
        <w:r w:rsidRPr="004807E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www.porec.hr</w:t>
        </w:r>
      </w:hyperlink>
    </w:p>
    <w:p w14:paraId="686A95EB" w14:textId="7F5CBCC6" w:rsidR="004D16F3" w:rsidRPr="004807E5" w:rsidRDefault="004D16F3" w:rsidP="004D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07E5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E77DF01" w14:textId="5C0657BF" w:rsidR="004D16F3" w:rsidRPr="004807E5" w:rsidRDefault="004D16F3" w:rsidP="004D16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807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Cilj donošenja Odluke:</w:t>
      </w:r>
    </w:p>
    <w:p w14:paraId="47B30334" w14:textId="77777777" w:rsidR="004D16F3" w:rsidRPr="004807E5" w:rsidRDefault="004D16F3" w:rsidP="004D16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</w:pPr>
      <w:r w:rsidRPr="004807E5">
        <w:rPr>
          <w:rFonts w:ascii="Times New Roman" w:eastAsia="Times New Roman" w:hAnsi="Times New Roman" w:cs="Times New Roman"/>
          <w:color w:val="92D050"/>
          <w:sz w:val="24"/>
          <w:szCs w:val="24"/>
          <w:lang w:eastAsia="hr-HR"/>
        </w:rPr>
        <w:t xml:space="preserve">        </w:t>
      </w:r>
      <w:r w:rsidRPr="004807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Cilj donošenja Odluke je </w:t>
      </w:r>
      <w:r w:rsidRPr="004807E5">
        <w:rPr>
          <w:rFonts w:ascii="Times New Roman" w:eastAsia="Times New Roman" w:hAnsi="Times New Roman" w:cs="Times New Roman"/>
          <w:sz w:val="24"/>
          <w:szCs w:val="24"/>
          <w:lang w:eastAsia="hr-HR"/>
        </w:rPr>
        <w:t>usklađenje sustava utvrđivanja i naplate lokalnih poreza Grada Poreča-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eastAsia="hr-HR"/>
        </w:rPr>
        <w:t>Parenzo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 važećim Zakonom o lokalnim porezima.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Obzirom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da je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temeljem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Zakona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lastRenderedPageBreak/>
        <w:t>uvođenju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eura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kao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službene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valute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u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Republici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Hrvatskoj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(“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Narodne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novine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”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broj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57/22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88/22) od 01.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siječnja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2023.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godine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proofErr w:type="gram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uveden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 euro</w:t>
      </w:r>
      <w:proofErr w:type="gram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u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prijedlogu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Odluke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porezima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Grada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Poreča-Parenzo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visina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svih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poreza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iskazana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je u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euru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uz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primjenu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fiksnog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tečaja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konverzije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7,53450.</w:t>
      </w:r>
    </w:p>
    <w:p w14:paraId="398EB390" w14:textId="77777777" w:rsidR="004D16F3" w:rsidRPr="004807E5" w:rsidRDefault="004D16F3" w:rsidP="004D16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92D050"/>
          <w:sz w:val="24"/>
          <w:szCs w:val="24"/>
          <w:lang w:eastAsia="hr-HR"/>
        </w:rPr>
      </w:pPr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      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Važeća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Odluka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lokalnim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porezima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Grada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Poreča-Parenzo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usvojena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2017.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godine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imala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dvije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izmjene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dopune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kroz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2018.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2019.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godinu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te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se </w:t>
      </w:r>
      <w:proofErr w:type="spellStart"/>
      <w:proofErr w:type="gram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predlaže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donošenje</w:t>
      </w:r>
      <w:proofErr w:type="spellEnd"/>
      <w:proofErr w:type="gram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potpuno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nove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Odluke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porezima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Grada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Poreča-Parenzo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kojim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obuhvaćene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sve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relevantne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izmjene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dopune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propisa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uz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istovremenu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izmjenu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naziva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Odluke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koja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više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ne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sadrži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riječ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“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lokalnim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”. </w:t>
      </w:r>
      <w:proofErr w:type="spellStart"/>
      <w:proofErr w:type="gram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Navedena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Odluka</w:t>
      </w:r>
      <w:proofErr w:type="spellEnd"/>
      <w:proofErr w:type="gram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bi, u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skladu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s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zakonskim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odredbama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stupila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na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snagu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01.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siječnja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2024.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godine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,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čime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bi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prestala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važiti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dosadašnja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Odluka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o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lokalnim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porezima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Grada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 xml:space="preserve"> 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Poreča-Parenzo</w:t>
      </w:r>
      <w:proofErr w:type="spellEnd"/>
    </w:p>
    <w:p w14:paraId="328B74B4" w14:textId="77777777" w:rsidR="004D16F3" w:rsidRPr="004807E5" w:rsidRDefault="004D16F3" w:rsidP="004D16F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B08EB9E" w14:textId="77777777" w:rsidR="004D16F3" w:rsidRPr="004807E5" w:rsidRDefault="004D16F3" w:rsidP="004D16F3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807E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Sredstva potrebna za ostvarenje Odluke:</w:t>
      </w:r>
    </w:p>
    <w:p w14:paraId="1043D827" w14:textId="2C117804" w:rsidR="004D16F3" w:rsidRPr="004807E5" w:rsidRDefault="004D16F3" w:rsidP="004D1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807E5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Sredstva za realizaciju ove Odluke </w:t>
      </w:r>
      <w:r w:rsidRPr="004807E5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osigurana su u okviru sredstava za redovni rad upravnih tijela Grada Poreča-</w:t>
      </w:r>
      <w:proofErr w:type="spellStart"/>
      <w:r w:rsidRPr="004807E5">
        <w:rPr>
          <w:rFonts w:ascii="Times New Roman" w:eastAsia="Times New Roman" w:hAnsi="Times New Roman" w:cs="Times New Roman"/>
          <w:sz w:val="24"/>
          <w:szCs w:val="24"/>
          <w:lang w:eastAsia="hr-HR"/>
        </w:rPr>
        <w:t>Parenzo</w:t>
      </w:r>
      <w:proofErr w:type="spellEnd"/>
      <w:r w:rsidRPr="004807E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3536012E" w14:textId="77777777" w:rsidR="00A1204E" w:rsidRPr="004D16F3" w:rsidRDefault="00A1204E" w:rsidP="004D16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15C81C26" w14:textId="73D7FF60" w:rsidR="004D16F3" w:rsidRDefault="004D16F3" w:rsidP="004D16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p w14:paraId="406CF285" w14:textId="77777777" w:rsidR="00A1204E" w:rsidRPr="004D16F3" w:rsidRDefault="00A1204E" w:rsidP="004D16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278"/>
      </w:tblGrid>
      <w:tr w:rsidR="00A1204E" w:rsidRPr="00582300" w14:paraId="3963E7E2" w14:textId="77777777" w:rsidTr="00A451CE">
        <w:trPr>
          <w:trHeight w:val="719"/>
        </w:trPr>
        <w:tc>
          <w:tcPr>
            <w:tcW w:w="9168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0685BFED" w14:textId="77777777" w:rsidR="00A1204E" w:rsidRDefault="00A1204E" w:rsidP="00A45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IZVJEŠĆE </w:t>
            </w:r>
          </w:p>
          <w:p w14:paraId="5420A044" w14:textId="77777777" w:rsidR="00A1204E" w:rsidRPr="00582300" w:rsidRDefault="00A1204E" w:rsidP="00A45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provedenom </w:t>
            </w: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savjetovanju s javnošću</w:t>
            </w:r>
          </w:p>
          <w:p w14:paraId="02B14140" w14:textId="77777777" w:rsidR="00A1204E" w:rsidRPr="00582300" w:rsidRDefault="00A1204E" w:rsidP="00A45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postupku donošenja </w:t>
            </w:r>
          </w:p>
          <w:p w14:paraId="6520E0FB" w14:textId="77777777" w:rsidR="00A1204E" w:rsidRPr="00582300" w:rsidRDefault="00A1204E" w:rsidP="00A45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Odluke o porezima Grada Poreča-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Parenzo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A1204E" w:rsidRPr="00582300" w14:paraId="61FBBCDE" w14:textId="77777777" w:rsidTr="00A451CE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8C3ACC2" w14:textId="77777777" w:rsidR="00A1204E" w:rsidRPr="00582300" w:rsidRDefault="00A1204E" w:rsidP="00A451CE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akta za koji je provedeno savjetovanje s javnošću 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5C75849" w14:textId="77777777" w:rsidR="00A1204E" w:rsidRPr="001333BE" w:rsidRDefault="00A1204E" w:rsidP="00A451C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333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Odluk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</w:t>
            </w:r>
            <w:r w:rsidRPr="001333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o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porezima</w:t>
            </w:r>
            <w:r w:rsidRPr="001333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</w:t>
            </w:r>
          </w:p>
          <w:p w14:paraId="1B9298C7" w14:textId="77777777" w:rsidR="00A1204E" w:rsidRPr="00DC1250" w:rsidRDefault="00A1204E" w:rsidP="00A451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3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Grada Poreča-</w:t>
            </w:r>
            <w:proofErr w:type="spellStart"/>
            <w:r w:rsidRPr="001333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Parenzo</w:t>
            </w:r>
            <w:proofErr w:type="spellEnd"/>
          </w:p>
        </w:tc>
      </w:tr>
      <w:tr w:rsidR="00A1204E" w:rsidRPr="00582300" w14:paraId="6A251603" w14:textId="77777777" w:rsidTr="00A451CE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18981CB" w14:textId="77777777" w:rsidR="00A1204E" w:rsidRPr="00582300" w:rsidRDefault="00A1204E" w:rsidP="00A451CE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tijela nadležnog za izradu nacrta / provedbu savjetovanja 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34506DC" w14:textId="77777777" w:rsidR="00A1204E" w:rsidRPr="00582300" w:rsidRDefault="00A1204E" w:rsidP="00A451C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Upravni odjel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financije</w:t>
            </w:r>
          </w:p>
        </w:tc>
      </w:tr>
      <w:tr w:rsidR="00A1204E" w:rsidRPr="00582300" w14:paraId="15F89EA2" w14:textId="77777777" w:rsidTr="00A451CE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CA671A" w14:textId="77777777" w:rsidR="00A1204E" w:rsidRPr="00582300" w:rsidRDefault="00A1204E" w:rsidP="00A451CE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Vrijeme trajanja savjetovanja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EE22D82" w14:textId="06A9B7F6" w:rsidR="00A1204E" w:rsidRPr="00582300" w:rsidRDefault="00A1204E" w:rsidP="00A451C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18.10.2023. do 17.11.</w:t>
            </w: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204E" w:rsidRPr="00582300" w14:paraId="28A0603D" w14:textId="77777777" w:rsidTr="00A451CE">
        <w:trPr>
          <w:trHeight w:val="3484"/>
        </w:trPr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DEA6E7C" w14:textId="77777777" w:rsidR="00A1204E" w:rsidRDefault="00A1204E" w:rsidP="00A451CE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Cilj savjetovanja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59D8FBF" w14:textId="79D1058A" w:rsidR="00A1204E" w:rsidRPr="008830A7" w:rsidRDefault="00A1204E" w:rsidP="00A451CE">
            <w:pPr>
              <w:spacing w:after="0" w:line="240" w:lineRule="auto"/>
              <w:jc w:val="center"/>
              <w:rPr>
                <w:rFonts w:eastAsia="Simsun (Founder Extended)"/>
                <w:szCs w:val="24"/>
              </w:rPr>
            </w:pPr>
            <w:r w:rsidRPr="00883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Cilj savjetovanja je upoznati javnost s nacrtom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prijedloga </w:t>
            </w:r>
            <w:r w:rsidRPr="001333B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Odluke o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porezima Grada Poreča-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Parenzo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koja je usklađena s novim Zakonom o lokalnim porezima</w:t>
            </w:r>
            <w:r w:rsidR="002B01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</w:tr>
      <w:tr w:rsidR="00A1204E" w:rsidRPr="00582300" w14:paraId="46916503" w14:textId="77777777" w:rsidTr="00A451CE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B98D370" w14:textId="77777777" w:rsidR="00A1204E" w:rsidRDefault="00A1204E" w:rsidP="00A451CE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Objava akta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0F429E9" w14:textId="77777777" w:rsidR="00A1204E" w:rsidRPr="00582300" w:rsidRDefault="00A1204E" w:rsidP="00A451C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>Mrežna stranica Grada Poreč-</w:t>
            </w:r>
            <w:proofErr w:type="spellStart"/>
            <w:r w:rsidRPr="00582300">
              <w:rPr>
                <w:rFonts w:ascii="Times New Roman" w:hAnsi="Times New Roman" w:cs="Times New Roman"/>
                <w:sz w:val="24"/>
                <w:szCs w:val="24"/>
              </w:rPr>
              <w:t>Parenzo</w:t>
            </w:r>
            <w:proofErr w:type="spellEnd"/>
          </w:p>
          <w:p w14:paraId="51F8884A" w14:textId="77777777" w:rsidR="00A1204E" w:rsidRPr="00582300" w:rsidRDefault="0023387B" w:rsidP="00A451CE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3" w:history="1">
              <w:r w:rsidR="00A1204E" w:rsidRPr="00582300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www.porec.hr</w:t>
              </w:r>
            </w:hyperlink>
            <w:r w:rsidR="00A1204E" w:rsidRPr="0058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204E" w:rsidRPr="00582300" w14:paraId="2DB2E078" w14:textId="77777777" w:rsidTr="00A451CE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2DCEDAB" w14:textId="77777777" w:rsidR="00A1204E" w:rsidRPr="00582300" w:rsidRDefault="00A1204E" w:rsidP="00A451CE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opis predstavnika zainteresirane javnosti koji su dostavili očitovanja 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096A133" w14:textId="77777777" w:rsidR="00A1204E" w:rsidRPr="00582300" w:rsidRDefault="00A1204E" w:rsidP="00A451CE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Tijekom savjetovanja sa zainteresiranom javnošću nije zaprimljena niti jedna sugestija, prijedlog ili komentar.  </w:t>
            </w:r>
          </w:p>
        </w:tc>
      </w:tr>
      <w:tr w:rsidR="00A1204E" w:rsidRPr="00582300" w14:paraId="073C57C2" w14:textId="77777777" w:rsidTr="00A451CE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25A2540" w14:textId="77777777" w:rsidR="00A1204E" w:rsidRPr="00582300" w:rsidRDefault="00A1204E" w:rsidP="00A451CE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>Troškovi provedenog savjetovanja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753DC6F" w14:textId="0D3D0AB9" w:rsidR="00A1204E" w:rsidRPr="00582300" w:rsidRDefault="00A1204E" w:rsidP="00A451CE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>Provedba savjetovanja nije iziskivala troškove</w:t>
            </w:r>
            <w:r w:rsidR="002B01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B708485" w14:textId="77777777" w:rsidR="004D16F3" w:rsidRPr="004D16F3" w:rsidRDefault="004D16F3" w:rsidP="009D29EF"/>
    <w:sectPr w:rsidR="004D16F3" w:rsidRPr="004D16F3" w:rsidSect="008B186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25793" w14:textId="77777777" w:rsidR="00EB2C66" w:rsidRDefault="00EB2C66" w:rsidP="00375C15">
      <w:pPr>
        <w:spacing w:after="0" w:line="240" w:lineRule="auto"/>
      </w:pPr>
      <w:r>
        <w:separator/>
      </w:r>
    </w:p>
  </w:endnote>
  <w:endnote w:type="continuationSeparator" w:id="0">
    <w:p w14:paraId="0B21D237" w14:textId="77777777" w:rsidR="00EB2C66" w:rsidRDefault="00EB2C66" w:rsidP="0037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ED234" w14:textId="77777777" w:rsidR="00EB2C66" w:rsidRDefault="00EB2C66" w:rsidP="00375C15">
      <w:pPr>
        <w:spacing w:after="0" w:line="240" w:lineRule="auto"/>
      </w:pPr>
      <w:r>
        <w:separator/>
      </w:r>
    </w:p>
  </w:footnote>
  <w:footnote w:type="continuationSeparator" w:id="0">
    <w:p w14:paraId="181269B6" w14:textId="77777777" w:rsidR="00EB2C66" w:rsidRDefault="00EB2C66" w:rsidP="00375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2DC7"/>
    <w:multiLevelType w:val="hybridMultilevel"/>
    <w:tmpl w:val="6B38A97E"/>
    <w:lvl w:ilvl="0" w:tplc="ACEEB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525EE"/>
    <w:multiLevelType w:val="hybridMultilevel"/>
    <w:tmpl w:val="98187EAE"/>
    <w:lvl w:ilvl="0" w:tplc="9516194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973417"/>
    <w:multiLevelType w:val="hybridMultilevel"/>
    <w:tmpl w:val="7BBC8166"/>
    <w:lvl w:ilvl="0" w:tplc="692AD3B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986B4A"/>
    <w:multiLevelType w:val="hybridMultilevel"/>
    <w:tmpl w:val="8A0EDEF0"/>
    <w:lvl w:ilvl="0" w:tplc="18061076">
      <w:start w:val="1"/>
      <w:numFmt w:val="upperRoman"/>
      <w:lvlText w:val="%1."/>
      <w:lvlJc w:val="left"/>
      <w:pPr>
        <w:ind w:left="4443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bs" w:eastAsia="en-US" w:bidi="ar-SA"/>
      </w:rPr>
    </w:lvl>
    <w:lvl w:ilvl="1" w:tplc="BAF0167C">
      <w:start w:val="7"/>
      <w:numFmt w:val="upperRoman"/>
      <w:lvlText w:val="%2."/>
      <w:lvlJc w:val="left"/>
      <w:pPr>
        <w:ind w:left="4083" w:hanging="5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7"/>
        <w:szCs w:val="27"/>
        <w:lang w:val="bs" w:eastAsia="en-US" w:bidi="ar-SA"/>
      </w:rPr>
    </w:lvl>
    <w:lvl w:ilvl="2" w:tplc="F864BAEA">
      <w:numFmt w:val="bullet"/>
      <w:lvlText w:val="•"/>
      <w:lvlJc w:val="left"/>
      <w:pPr>
        <w:ind w:left="5142" w:hanging="541"/>
      </w:pPr>
      <w:rPr>
        <w:rFonts w:hint="default"/>
        <w:lang w:val="bs" w:eastAsia="en-US" w:bidi="ar-SA"/>
      </w:rPr>
    </w:lvl>
    <w:lvl w:ilvl="3" w:tplc="41BAF61C">
      <w:numFmt w:val="bullet"/>
      <w:lvlText w:val="•"/>
      <w:lvlJc w:val="left"/>
      <w:pPr>
        <w:ind w:left="5844" w:hanging="541"/>
      </w:pPr>
      <w:rPr>
        <w:rFonts w:hint="default"/>
        <w:lang w:val="bs" w:eastAsia="en-US" w:bidi="ar-SA"/>
      </w:rPr>
    </w:lvl>
    <w:lvl w:ilvl="4" w:tplc="296EA79C">
      <w:numFmt w:val="bullet"/>
      <w:lvlText w:val="•"/>
      <w:lvlJc w:val="left"/>
      <w:pPr>
        <w:ind w:left="6546" w:hanging="541"/>
      </w:pPr>
      <w:rPr>
        <w:rFonts w:hint="default"/>
        <w:lang w:val="bs" w:eastAsia="en-US" w:bidi="ar-SA"/>
      </w:rPr>
    </w:lvl>
    <w:lvl w:ilvl="5" w:tplc="74462984">
      <w:numFmt w:val="bullet"/>
      <w:lvlText w:val="•"/>
      <w:lvlJc w:val="left"/>
      <w:pPr>
        <w:ind w:left="7248" w:hanging="541"/>
      </w:pPr>
      <w:rPr>
        <w:rFonts w:hint="default"/>
        <w:lang w:val="bs" w:eastAsia="en-US" w:bidi="ar-SA"/>
      </w:rPr>
    </w:lvl>
    <w:lvl w:ilvl="6" w:tplc="212E4768">
      <w:numFmt w:val="bullet"/>
      <w:lvlText w:val="•"/>
      <w:lvlJc w:val="left"/>
      <w:pPr>
        <w:ind w:left="7950" w:hanging="541"/>
      </w:pPr>
      <w:rPr>
        <w:rFonts w:hint="default"/>
        <w:lang w:val="bs" w:eastAsia="en-US" w:bidi="ar-SA"/>
      </w:rPr>
    </w:lvl>
    <w:lvl w:ilvl="7" w:tplc="E79C0A96">
      <w:numFmt w:val="bullet"/>
      <w:lvlText w:val="•"/>
      <w:lvlJc w:val="left"/>
      <w:pPr>
        <w:ind w:left="8652" w:hanging="541"/>
      </w:pPr>
      <w:rPr>
        <w:rFonts w:hint="default"/>
        <w:lang w:val="bs" w:eastAsia="en-US" w:bidi="ar-SA"/>
      </w:rPr>
    </w:lvl>
    <w:lvl w:ilvl="8" w:tplc="61FA4126">
      <w:numFmt w:val="bullet"/>
      <w:lvlText w:val="•"/>
      <w:lvlJc w:val="left"/>
      <w:pPr>
        <w:ind w:left="9354" w:hanging="541"/>
      </w:pPr>
      <w:rPr>
        <w:rFonts w:hint="default"/>
        <w:lang w:val="bs" w:eastAsia="en-US" w:bidi="ar-SA"/>
      </w:rPr>
    </w:lvl>
  </w:abstractNum>
  <w:abstractNum w:abstractNumId="4" w15:restartNumberingAfterBreak="0">
    <w:nsid w:val="13D21896"/>
    <w:multiLevelType w:val="hybridMultilevel"/>
    <w:tmpl w:val="AD18E72E"/>
    <w:lvl w:ilvl="0" w:tplc="70B2E9F0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538C821A">
      <w:numFmt w:val="bullet"/>
      <w:lvlText w:val="•"/>
      <w:lvlJc w:val="left"/>
      <w:pPr>
        <w:ind w:left="1201" w:hanging="140"/>
      </w:pPr>
      <w:rPr>
        <w:rFonts w:hint="default"/>
        <w:lang w:val="bs" w:eastAsia="en-US" w:bidi="ar-SA"/>
      </w:rPr>
    </w:lvl>
    <w:lvl w:ilvl="2" w:tplc="B170C0EC">
      <w:numFmt w:val="bullet"/>
      <w:lvlText w:val="•"/>
      <w:lvlJc w:val="left"/>
      <w:pPr>
        <w:ind w:left="2263" w:hanging="140"/>
      </w:pPr>
      <w:rPr>
        <w:rFonts w:hint="default"/>
        <w:lang w:val="bs" w:eastAsia="en-US" w:bidi="ar-SA"/>
      </w:rPr>
    </w:lvl>
    <w:lvl w:ilvl="3" w:tplc="C2C210D0">
      <w:numFmt w:val="bullet"/>
      <w:lvlText w:val="•"/>
      <w:lvlJc w:val="left"/>
      <w:pPr>
        <w:ind w:left="3325" w:hanging="140"/>
      </w:pPr>
      <w:rPr>
        <w:rFonts w:hint="default"/>
        <w:lang w:val="bs" w:eastAsia="en-US" w:bidi="ar-SA"/>
      </w:rPr>
    </w:lvl>
    <w:lvl w:ilvl="4" w:tplc="5B94C3A2">
      <w:numFmt w:val="bullet"/>
      <w:lvlText w:val="•"/>
      <w:lvlJc w:val="left"/>
      <w:pPr>
        <w:ind w:left="4387" w:hanging="140"/>
      </w:pPr>
      <w:rPr>
        <w:rFonts w:hint="default"/>
        <w:lang w:val="bs" w:eastAsia="en-US" w:bidi="ar-SA"/>
      </w:rPr>
    </w:lvl>
    <w:lvl w:ilvl="5" w:tplc="9D4CE5B4">
      <w:numFmt w:val="bullet"/>
      <w:lvlText w:val="•"/>
      <w:lvlJc w:val="left"/>
      <w:pPr>
        <w:ind w:left="5449" w:hanging="140"/>
      </w:pPr>
      <w:rPr>
        <w:rFonts w:hint="default"/>
        <w:lang w:val="bs" w:eastAsia="en-US" w:bidi="ar-SA"/>
      </w:rPr>
    </w:lvl>
    <w:lvl w:ilvl="6" w:tplc="C70A457C">
      <w:numFmt w:val="bullet"/>
      <w:lvlText w:val="•"/>
      <w:lvlJc w:val="left"/>
      <w:pPr>
        <w:ind w:left="6511" w:hanging="140"/>
      </w:pPr>
      <w:rPr>
        <w:rFonts w:hint="default"/>
        <w:lang w:val="bs" w:eastAsia="en-US" w:bidi="ar-SA"/>
      </w:rPr>
    </w:lvl>
    <w:lvl w:ilvl="7" w:tplc="F16A3580">
      <w:numFmt w:val="bullet"/>
      <w:lvlText w:val="•"/>
      <w:lvlJc w:val="left"/>
      <w:pPr>
        <w:ind w:left="7573" w:hanging="140"/>
      </w:pPr>
      <w:rPr>
        <w:rFonts w:hint="default"/>
        <w:lang w:val="bs" w:eastAsia="en-US" w:bidi="ar-SA"/>
      </w:rPr>
    </w:lvl>
    <w:lvl w:ilvl="8" w:tplc="BFD00914">
      <w:numFmt w:val="bullet"/>
      <w:lvlText w:val="•"/>
      <w:lvlJc w:val="left"/>
      <w:pPr>
        <w:ind w:left="8635" w:hanging="140"/>
      </w:pPr>
      <w:rPr>
        <w:rFonts w:hint="default"/>
        <w:lang w:val="bs" w:eastAsia="en-US" w:bidi="ar-SA"/>
      </w:rPr>
    </w:lvl>
  </w:abstractNum>
  <w:abstractNum w:abstractNumId="5" w15:restartNumberingAfterBreak="0">
    <w:nsid w:val="1B76346D"/>
    <w:multiLevelType w:val="hybridMultilevel"/>
    <w:tmpl w:val="C1DCBB90"/>
    <w:lvl w:ilvl="0" w:tplc="25C6708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217E7"/>
    <w:multiLevelType w:val="hybridMultilevel"/>
    <w:tmpl w:val="4E125C3E"/>
    <w:lvl w:ilvl="0" w:tplc="1BB67BBA">
      <w:start w:val="1"/>
      <w:numFmt w:val="decimal"/>
      <w:lvlText w:val="%1."/>
      <w:lvlJc w:val="left"/>
      <w:pPr>
        <w:ind w:left="380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0D62E388">
      <w:numFmt w:val="bullet"/>
      <w:lvlText w:val="•"/>
      <w:lvlJc w:val="left"/>
      <w:pPr>
        <w:ind w:left="1417" w:hanging="241"/>
      </w:pPr>
      <w:rPr>
        <w:rFonts w:hint="default"/>
        <w:lang w:val="bs" w:eastAsia="en-US" w:bidi="ar-SA"/>
      </w:rPr>
    </w:lvl>
    <w:lvl w:ilvl="2" w:tplc="59629D42">
      <w:numFmt w:val="bullet"/>
      <w:lvlText w:val="•"/>
      <w:lvlJc w:val="left"/>
      <w:pPr>
        <w:ind w:left="2455" w:hanging="241"/>
      </w:pPr>
      <w:rPr>
        <w:rFonts w:hint="default"/>
        <w:lang w:val="bs" w:eastAsia="en-US" w:bidi="ar-SA"/>
      </w:rPr>
    </w:lvl>
    <w:lvl w:ilvl="3" w:tplc="6C7E7C90">
      <w:numFmt w:val="bullet"/>
      <w:lvlText w:val="•"/>
      <w:lvlJc w:val="left"/>
      <w:pPr>
        <w:ind w:left="3493" w:hanging="241"/>
      </w:pPr>
      <w:rPr>
        <w:rFonts w:hint="default"/>
        <w:lang w:val="bs" w:eastAsia="en-US" w:bidi="ar-SA"/>
      </w:rPr>
    </w:lvl>
    <w:lvl w:ilvl="4" w:tplc="2E386F70">
      <w:numFmt w:val="bullet"/>
      <w:lvlText w:val="•"/>
      <w:lvlJc w:val="left"/>
      <w:pPr>
        <w:ind w:left="4531" w:hanging="241"/>
      </w:pPr>
      <w:rPr>
        <w:rFonts w:hint="default"/>
        <w:lang w:val="bs" w:eastAsia="en-US" w:bidi="ar-SA"/>
      </w:rPr>
    </w:lvl>
    <w:lvl w:ilvl="5" w:tplc="9168AB62">
      <w:numFmt w:val="bullet"/>
      <w:lvlText w:val="•"/>
      <w:lvlJc w:val="left"/>
      <w:pPr>
        <w:ind w:left="5569" w:hanging="241"/>
      </w:pPr>
      <w:rPr>
        <w:rFonts w:hint="default"/>
        <w:lang w:val="bs" w:eastAsia="en-US" w:bidi="ar-SA"/>
      </w:rPr>
    </w:lvl>
    <w:lvl w:ilvl="6" w:tplc="43C2CE6C">
      <w:numFmt w:val="bullet"/>
      <w:lvlText w:val="•"/>
      <w:lvlJc w:val="left"/>
      <w:pPr>
        <w:ind w:left="6607" w:hanging="241"/>
      </w:pPr>
      <w:rPr>
        <w:rFonts w:hint="default"/>
        <w:lang w:val="bs" w:eastAsia="en-US" w:bidi="ar-SA"/>
      </w:rPr>
    </w:lvl>
    <w:lvl w:ilvl="7" w:tplc="825C8230">
      <w:numFmt w:val="bullet"/>
      <w:lvlText w:val="•"/>
      <w:lvlJc w:val="left"/>
      <w:pPr>
        <w:ind w:left="7645" w:hanging="241"/>
      </w:pPr>
      <w:rPr>
        <w:rFonts w:hint="default"/>
        <w:lang w:val="bs" w:eastAsia="en-US" w:bidi="ar-SA"/>
      </w:rPr>
    </w:lvl>
    <w:lvl w:ilvl="8" w:tplc="CE04E90C">
      <w:numFmt w:val="bullet"/>
      <w:lvlText w:val="•"/>
      <w:lvlJc w:val="left"/>
      <w:pPr>
        <w:ind w:left="8683" w:hanging="241"/>
      </w:pPr>
      <w:rPr>
        <w:rFonts w:hint="default"/>
        <w:lang w:val="bs" w:eastAsia="en-US" w:bidi="ar-SA"/>
      </w:rPr>
    </w:lvl>
  </w:abstractNum>
  <w:abstractNum w:abstractNumId="7" w15:restartNumberingAfterBreak="0">
    <w:nsid w:val="4A4F025B"/>
    <w:multiLevelType w:val="hybridMultilevel"/>
    <w:tmpl w:val="BCB2799C"/>
    <w:lvl w:ilvl="0" w:tplc="2BD028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D6DBD"/>
    <w:multiLevelType w:val="hybridMultilevel"/>
    <w:tmpl w:val="7540995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D36E3"/>
    <w:multiLevelType w:val="hybridMultilevel"/>
    <w:tmpl w:val="CCE046EC"/>
    <w:lvl w:ilvl="0" w:tplc="26305072">
      <w:start w:val="1"/>
      <w:numFmt w:val="lowerLetter"/>
      <w:lvlText w:val="%1)"/>
      <w:lvlJc w:val="left"/>
      <w:pPr>
        <w:ind w:left="386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748CB2B0">
      <w:numFmt w:val="bullet"/>
      <w:lvlText w:val="•"/>
      <w:lvlJc w:val="left"/>
      <w:pPr>
        <w:ind w:left="1417" w:hanging="247"/>
      </w:pPr>
      <w:rPr>
        <w:rFonts w:hint="default"/>
        <w:lang w:val="bs" w:eastAsia="en-US" w:bidi="ar-SA"/>
      </w:rPr>
    </w:lvl>
    <w:lvl w:ilvl="2" w:tplc="B6348D5E">
      <w:numFmt w:val="bullet"/>
      <w:lvlText w:val="•"/>
      <w:lvlJc w:val="left"/>
      <w:pPr>
        <w:ind w:left="2455" w:hanging="247"/>
      </w:pPr>
      <w:rPr>
        <w:rFonts w:hint="default"/>
        <w:lang w:val="bs" w:eastAsia="en-US" w:bidi="ar-SA"/>
      </w:rPr>
    </w:lvl>
    <w:lvl w:ilvl="3" w:tplc="EAF2EC44">
      <w:numFmt w:val="bullet"/>
      <w:lvlText w:val="•"/>
      <w:lvlJc w:val="left"/>
      <w:pPr>
        <w:ind w:left="3493" w:hanging="247"/>
      </w:pPr>
      <w:rPr>
        <w:rFonts w:hint="default"/>
        <w:lang w:val="bs" w:eastAsia="en-US" w:bidi="ar-SA"/>
      </w:rPr>
    </w:lvl>
    <w:lvl w:ilvl="4" w:tplc="90A209B2">
      <w:numFmt w:val="bullet"/>
      <w:lvlText w:val="•"/>
      <w:lvlJc w:val="left"/>
      <w:pPr>
        <w:ind w:left="4531" w:hanging="247"/>
      </w:pPr>
      <w:rPr>
        <w:rFonts w:hint="default"/>
        <w:lang w:val="bs" w:eastAsia="en-US" w:bidi="ar-SA"/>
      </w:rPr>
    </w:lvl>
    <w:lvl w:ilvl="5" w:tplc="4AA2A8F8">
      <w:numFmt w:val="bullet"/>
      <w:lvlText w:val="•"/>
      <w:lvlJc w:val="left"/>
      <w:pPr>
        <w:ind w:left="5569" w:hanging="247"/>
      </w:pPr>
      <w:rPr>
        <w:rFonts w:hint="default"/>
        <w:lang w:val="bs" w:eastAsia="en-US" w:bidi="ar-SA"/>
      </w:rPr>
    </w:lvl>
    <w:lvl w:ilvl="6" w:tplc="C4B0131C">
      <w:numFmt w:val="bullet"/>
      <w:lvlText w:val="•"/>
      <w:lvlJc w:val="left"/>
      <w:pPr>
        <w:ind w:left="6607" w:hanging="247"/>
      </w:pPr>
      <w:rPr>
        <w:rFonts w:hint="default"/>
        <w:lang w:val="bs" w:eastAsia="en-US" w:bidi="ar-SA"/>
      </w:rPr>
    </w:lvl>
    <w:lvl w:ilvl="7" w:tplc="9EB622C8">
      <w:numFmt w:val="bullet"/>
      <w:lvlText w:val="•"/>
      <w:lvlJc w:val="left"/>
      <w:pPr>
        <w:ind w:left="7645" w:hanging="247"/>
      </w:pPr>
      <w:rPr>
        <w:rFonts w:hint="default"/>
        <w:lang w:val="bs" w:eastAsia="en-US" w:bidi="ar-SA"/>
      </w:rPr>
    </w:lvl>
    <w:lvl w:ilvl="8" w:tplc="DE4C9146">
      <w:numFmt w:val="bullet"/>
      <w:lvlText w:val="•"/>
      <w:lvlJc w:val="left"/>
      <w:pPr>
        <w:ind w:left="8683" w:hanging="247"/>
      </w:pPr>
      <w:rPr>
        <w:rFonts w:hint="default"/>
        <w:lang w:val="bs" w:eastAsia="en-US" w:bidi="ar-SA"/>
      </w:rPr>
    </w:lvl>
  </w:abstractNum>
  <w:abstractNum w:abstractNumId="10" w15:restartNumberingAfterBreak="0">
    <w:nsid w:val="59D7535B"/>
    <w:multiLevelType w:val="hybridMultilevel"/>
    <w:tmpl w:val="C10A22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F1363"/>
    <w:multiLevelType w:val="hybridMultilevel"/>
    <w:tmpl w:val="8D9C180E"/>
    <w:lvl w:ilvl="0" w:tplc="4A88A9CC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90B1C6B"/>
    <w:multiLevelType w:val="hybridMultilevel"/>
    <w:tmpl w:val="F2485DAC"/>
    <w:lvl w:ilvl="0" w:tplc="2A62684E">
      <w:start w:val="1"/>
      <w:numFmt w:val="decimal"/>
      <w:lvlText w:val="%1."/>
      <w:lvlJc w:val="left"/>
      <w:pPr>
        <w:ind w:left="380" w:hanging="2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s" w:eastAsia="en-US" w:bidi="ar-SA"/>
      </w:rPr>
    </w:lvl>
    <w:lvl w:ilvl="1" w:tplc="F106F4D0">
      <w:numFmt w:val="bullet"/>
      <w:lvlText w:val="•"/>
      <w:lvlJc w:val="left"/>
      <w:pPr>
        <w:ind w:left="1417" w:hanging="241"/>
      </w:pPr>
      <w:rPr>
        <w:rFonts w:hint="default"/>
        <w:lang w:val="bs" w:eastAsia="en-US" w:bidi="ar-SA"/>
      </w:rPr>
    </w:lvl>
    <w:lvl w:ilvl="2" w:tplc="792AC088">
      <w:numFmt w:val="bullet"/>
      <w:lvlText w:val="•"/>
      <w:lvlJc w:val="left"/>
      <w:pPr>
        <w:ind w:left="2455" w:hanging="241"/>
      </w:pPr>
      <w:rPr>
        <w:rFonts w:hint="default"/>
        <w:lang w:val="bs" w:eastAsia="en-US" w:bidi="ar-SA"/>
      </w:rPr>
    </w:lvl>
    <w:lvl w:ilvl="3" w:tplc="972AAF4E">
      <w:numFmt w:val="bullet"/>
      <w:lvlText w:val="•"/>
      <w:lvlJc w:val="left"/>
      <w:pPr>
        <w:ind w:left="3493" w:hanging="241"/>
      </w:pPr>
      <w:rPr>
        <w:rFonts w:hint="default"/>
        <w:lang w:val="bs" w:eastAsia="en-US" w:bidi="ar-SA"/>
      </w:rPr>
    </w:lvl>
    <w:lvl w:ilvl="4" w:tplc="E998115E">
      <w:numFmt w:val="bullet"/>
      <w:lvlText w:val="•"/>
      <w:lvlJc w:val="left"/>
      <w:pPr>
        <w:ind w:left="4531" w:hanging="241"/>
      </w:pPr>
      <w:rPr>
        <w:rFonts w:hint="default"/>
        <w:lang w:val="bs" w:eastAsia="en-US" w:bidi="ar-SA"/>
      </w:rPr>
    </w:lvl>
    <w:lvl w:ilvl="5" w:tplc="A75ABFE2">
      <w:numFmt w:val="bullet"/>
      <w:lvlText w:val="•"/>
      <w:lvlJc w:val="left"/>
      <w:pPr>
        <w:ind w:left="5569" w:hanging="241"/>
      </w:pPr>
      <w:rPr>
        <w:rFonts w:hint="default"/>
        <w:lang w:val="bs" w:eastAsia="en-US" w:bidi="ar-SA"/>
      </w:rPr>
    </w:lvl>
    <w:lvl w:ilvl="6" w:tplc="B52E4CC4">
      <w:numFmt w:val="bullet"/>
      <w:lvlText w:val="•"/>
      <w:lvlJc w:val="left"/>
      <w:pPr>
        <w:ind w:left="6607" w:hanging="241"/>
      </w:pPr>
      <w:rPr>
        <w:rFonts w:hint="default"/>
        <w:lang w:val="bs" w:eastAsia="en-US" w:bidi="ar-SA"/>
      </w:rPr>
    </w:lvl>
    <w:lvl w:ilvl="7" w:tplc="7E18FA16">
      <w:numFmt w:val="bullet"/>
      <w:lvlText w:val="•"/>
      <w:lvlJc w:val="left"/>
      <w:pPr>
        <w:ind w:left="7645" w:hanging="241"/>
      </w:pPr>
      <w:rPr>
        <w:rFonts w:hint="default"/>
        <w:lang w:val="bs" w:eastAsia="en-US" w:bidi="ar-SA"/>
      </w:rPr>
    </w:lvl>
    <w:lvl w:ilvl="8" w:tplc="C938FF78">
      <w:numFmt w:val="bullet"/>
      <w:lvlText w:val="•"/>
      <w:lvlJc w:val="left"/>
      <w:pPr>
        <w:ind w:left="8683" w:hanging="241"/>
      </w:pPr>
      <w:rPr>
        <w:rFonts w:hint="default"/>
        <w:lang w:val="bs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9"/>
  </w:num>
  <w:num w:numId="10">
    <w:abstractNumId w:val="12"/>
  </w:num>
  <w:num w:numId="11">
    <w:abstractNumId w:val="8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15"/>
    <w:rsid w:val="00020AD5"/>
    <w:rsid w:val="000420ED"/>
    <w:rsid w:val="00061950"/>
    <w:rsid w:val="00084408"/>
    <w:rsid w:val="000C3802"/>
    <w:rsid w:val="000D078A"/>
    <w:rsid w:val="000E4792"/>
    <w:rsid w:val="000F5EB2"/>
    <w:rsid w:val="00101306"/>
    <w:rsid w:val="00102986"/>
    <w:rsid w:val="00113585"/>
    <w:rsid w:val="0011490C"/>
    <w:rsid w:val="001250E1"/>
    <w:rsid w:val="0012581A"/>
    <w:rsid w:val="00131D72"/>
    <w:rsid w:val="0016365C"/>
    <w:rsid w:val="00165A99"/>
    <w:rsid w:val="001E31AD"/>
    <w:rsid w:val="001E59AD"/>
    <w:rsid w:val="00213C9F"/>
    <w:rsid w:val="0023387B"/>
    <w:rsid w:val="0024148D"/>
    <w:rsid w:val="00260FCD"/>
    <w:rsid w:val="0026355D"/>
    <w:rsid w:val="00273EC0"/>
    <w:rsid w:val="00293424"/>
    <w:rsid w:val="00293A2D"/>
    <w:rsid w:val="00297D57"/>
    <w:rsid w:val="002A17D0"/>
    <w:rsid w:val="002B01F0"/>
    <w:rsid w:val="002B4BB8"/>
    <w:rsid w:val="002E3AD0"/>
    <w:rsid w:val="00360846"/>
    <w:rsid w:val="0037420B"/>
    <w:rsid w:val="00375C15"/>
    <w:rsid w:val="003E390E"/>
    <w:rsid w:val="003F5314"/>
    <w:rsid w:val="00413927"/>
    <w:rsid w:val="00413E45"/>
    <w:rsid w:val="00426C0A"/>
    <w:rsid w:val="0044045E"/>
    <w:rsid w:val="00447F6C"/>
    <w:rsid w:val="00460478"/>
    <w:rsid w:val="004807E5"/>
    <w:rsid w:val="00485938"/>
    <w:rsid w:val="004C248C"/>
    <w:rsid w:val="004D16F3"/>
    <w:rsid w:val="00517570"/>
    <w:rsid w:val="00525E07"/>
    <w:rsid w:val="0054524E"/>
    <w:rsid w:val="00554463"/>
    <w:rsid w:val="005708B3"/>
    <w:rsid w:val="005930C7"/>
    <w:rsid w:val="005D0FA7"/>
    <w:rsid w:val="005D2564"/>
    <w:rsid w:val="005D6F10"/>
    <w:rsid w:val="006221F9"/>
    <w:rsid w:val="006305B5"/>
    <w:rsid w:val="006454EE"/>
    <w:rsid w:val="0068199A"/>
    <w:rsid w:val="006B6D73"/>
    <w:rsid w:val="006C554B"/>
    <w:rsid w:val="007356D2"/>
    <w:rsid w:val="00751B33"/>
    <w:rsid w:val="007811C9"/>
    <w:rsid w:val="007C6B67"/>
    <w:rsid w:val="007D0D87"/>
    <w:rsid w:val="007F55C5"/>
    <w:rsid w:val="00807CD5"/>
    <w:rsid w:val="00824F85"/>
    <w:rsid w:val="008352EA"/>
    <w:rsid w:val="008558F3"/>
    <w:rsid w:val="00863891"/>
    <w:rsid w:val="0088082E"/>
    <w:rsid w:val="008B186A"/>
    <w:rsid w:val="008B626F"/>
    <w:rsid w:val="008D1CCD"/>
    <w:rsid w:val="008F146D"/>
    <w:rsid w:val="009A1005"/>
    <w:rsid w:val="009B0F47"/>
    <w:rsid w:val="009D29EF"/>
    <w:rsid w:val="00A018B8"/>
    <w:rsid w:val="00A1204E"/>
    <w:rsid w:val="00A26D1E"/>
    <w:rsid w:val="00A3495D"/>
    <w:rsid w:val="00A4382D"/>
    <w:rsid w:val="00A4663A"/>
    <w:rsid w:val="00AB22BE"/>
    <w:rsid w:val="00AB5E3D"/>
    <w:rsid w:val="00AB621E"/>
    <w:rsid w:val="00AC7901"/>
    <w:rsid w:val="00AE1B21"/>
    <w:rsid w:val="00B06D26"/>
    <w:rsid w:val="00B2479B"/>
    <w:rsid w:val="00B25F15"/>
    <w:rsid w:val="00B33E3C"/>
    <w:rsid w:val="00B34FDA"/>
    <w:rsid w:val="00B432DB"/>
    <w:rsid w:val="00B52EEB"/>
    <w:rsid w:val="00B576E3"/>
    <w:rsid w:val="00B5774B"/>
    <w:rsid w:val="00B7116D"/>
    <w:rsid w:val="00BD1516"/>
    <w:rsid w:val="00BF5EDA"/>
    <w:rsid w:val="00C812EC"/>
    <w:rsid w:val="00CA3A00"/>
    <w:rsid w:val="00D042AD"/>
    <w:rsid w:val="00D24B3A"/>
    <w:rsid w:val="00D466D7"/>
    <w:rsid w:val="00D639F6"/>
    <w:rsid w:val="00DB69A3"/>
    <w:rsid w:val="00DD3FD1"/>
    <w:rsid w:val="00E57E7A"/>
    <w:rsid w:val="00E7609B"/>
    <w:rsid w:val="00E92086"/>
    <w:rsid w:val="00EB1665"/>
    <w:rsid w:val="00EB2C66"/>
    <w:rsid w:val="00EE195B"/>
    <w:rsid w:val="00EF2F1C"/>
    <w:rsid w:val="00EF410F"/>
    <w:rsid w:val="00F12894"/>
    <w:rsid w:val="00F52039"/>
    <w:rsid w:val="00F72E58"/>
    <w:rsid w:val="00F959BB"/>
    <w:rsid w:val="00F969F6"/>
    <w:rsid w:val="00FA310C"/>
    <w:rsid w:val="00FC5E0D"/>
    <w:rsid w:val="00FE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2B4DC9E"/>
  <w15:chartTrackingRefBased/>
  <w15:docId w15:val="{5D0050B7-37CC-4EDF-92E7-0ACD35242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8352EA"/>
    <w:pPr>
      <w:widowControl w:val="0"/>
      <w:autoSpaceDE w:val="0"/>
      <w:autoSpaceDN w:val="0"/>
      <w:spacing w:after="0" w:line="240" w:lineRule="auto"/>
      <w:ind w:left="2675" w:hanging="4486"/>
      <w:outlineLvl w:val="0"/>
    </w:pPr>
    <w:rPr>
      <w:rFonts w:ascii="Times New Roman" w:eastAsia="Times New Roman" w:hAnsi="Times New Roman" w:cs="Times New Roman"/>
      <w:b/>
      <w:bCs/>
      <w:sz w:val="27"/>
      <w:szCs w:val="27"/>
      <w:lang w:val="b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0F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75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5C15"/>
  </w:style>
  <w:style w:type="paragraph" w:styleId="Podnoje">
    <w:name w:val="footer"/>
    <w:basedOn w:val="Normal"/>
    <w:link w:val="PodnojeChar"/>
    <w:uiPriority w:val="99"/>
    <w:unhideWhenUsed/>
    <w:rsid w:val="00375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5C15"/>
  </w:style>
  <w:style w:type="paragraph" w:styleId="Odlomakpopisa">
    <w:name w:val="List Paragraph"/>
    <w:basedOn w:val="Normal"/>
    <w:uiPriority w:val="1"/>
    <w:qFormat/>
    <w:rsid w:val="008352EA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8352EA"/>
    <w:rPr>
      <w:rFonts w:ascii="Times New Roman" w:eastAsia="Times New Roman" w:hAnsi="Times New Roman" w:cs="Times New Roman"/>
      <w:b/>
      <w:bCs/>
      <w:sz w:val="27"/>
      <w:szCs w:val="27"/>
      <w:lang w:val="bs"/>
    </w:rPr>
  </w:style>
  <w:style w:type="paragraph" w:styleId="Tijeloteksta">
    <w:name w:val="Body Text"/>
    <w:basedOn w:val="Normal"/>
    <w:link w:val="TijelotekstaChar"/>
    <w:uiPriority w:val="1"/>
    <w:qFormat/>
    <w:rsid w:val="008352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8352EA"/>
    <w:rPr>
      <w:rFonts w:ascii="Times New Roman" w:eastAsia="Times New Roman" w:hAnsi="Times New Roman" w:cs="Times New Roman"/>
      <w:sz w:val="24"/>
      <w:szCs w:val="24"/>
      <w:lang w:val="b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0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934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93424"/>
    <w:pPr>
      <w:widowControl w:val="0"/>
      <w:autoSpaceDE w:val="0"/>
      <w:autoSpaceDN w:val="0"/>
      <w:spacing w:after="0" w:line="245" w:lineRule="exact"/>
      <w:ind w:left="109"/>
    </w:pPr>
    <w:rPr>
      <w:rFonts w:ascii="Times New Roman" w:eastAsia="Times New Roman" w:hAnsi="Times New Roman" w:cs="Times New Roman"/>
      <w:lang w:val="b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1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1306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9D29E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1204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12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porec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ore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orec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1D365-8191-47B0-AB55-C946575B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2978</Words>
  <Characters>16978</Characters>
  <Application>Microsoft Office Word</Application>
  <DocSecurity>0</DocSecurity>
  <Lines>141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Beaković</dc:creator>
  <cp:keywords/>
  <dc:description/>
  <cp:lastModifiedBy>Maja Šimonović Cvitko</cp:lastModifiedBy>
  <cp:revision>3</cp:revision>
  <cp:lastPrinted>2023-11-23T07:41:00Z</cp:lastPrinted>
  <dcterms:created xsi:type="dcterms:W3CDTF">2023-11-23T10:22:00Z</dcterms:created>
  <dcterms:modified xsi:type="dcterms:W3CDTF">2023-11-23T11:23:00Z</dcterms:modified>
</cp:coreProperties>
</file>